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8.xml" ContentType="application/vnd.openxmlformats-officedocument.wordprocessingml.header+xml"/>
  <Override PartName="/word/footer20.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1.xml" ContentType="application/vnd.openxmlformats-officedocument.wordprocessingml.header+xml"/>
  <Override PartName="/word/footer23.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4.xml" ContentType="application/vnd.openxmlformats-officedocument.wordprocessingml.header+xml"/>
  <Override PartName="/word/footer26.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27.xml" ContentType="application/vnd.openxmlformats-officedocument.wordprocessingml.header+xml"/>
  <Override PartName="/word/footer29.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30.xml" ContentType="application/vnd.openxmlformats-officedocument.wordprocessingml.header+xml"/>
  <Override PartName="/word/footer32.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header33.xml" ContentType="application/vnd.openxmlformats-officedocument.wordprocessingml.header+xml"/>
  <Override PartName="/word/footer35.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6.xml" ContentType="application/vnd.openxmlformats-officedocument.wordprocessingml.footer+xml"/>
  <Override PartName="/word/footer37.xml" ContentType="application/vnd.openxmlformats-officedocument.wordprocessingml.footer+xml"/>
  <Override PartName="/word/header36.xml" ContentType="application/vnd.openxmlformats-officedocument.wordprocessingml.header+xml"/>
  <Override PartName="/word/footer38.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9.xml" ContentType="application/vnd.openxmlformats-officedocument.wordprocessingml.footer+xml"/>
  <Override PartName="/word/footer40.xml" ContentType="application/vnd.openxmlformats-officedocument.wordprocessingml.footer+xml"/>
  <Override PartName="/word/header39.xml" ContentType="application/vnd.openxmlformats-officedocument.wordprocessingml.header+xml"/>
  <Override PartName="/word/footer41.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2.xml" ContentType="application/vnd.openxmlformats-officedocument.wordprocessingml.footer+xml"/>
  <Override PartName="/word/footer43.xml" ContentType="application/vnd.openxmlformats-officedocument.wordprocessingml.footer+xml"/>
  <Override PartName="/word/header42.xml" ContentType="application/vnd.openxmlformats-officedocument.wordprocessingml.header+xml"/>
  <Override PartName="/word/footer44.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5.xml" ContentType="application/vnd.openxmlformats-officedocument.wordprocessingml.footer+xml"/>
  <Override PartName="/word/footer46.xml" ContentType="application/vnd.openxmlformats-officedocument.wordprocessingml.footer+xml"/>
  <Override PartName="/word/header45.xml" ContentType="application/vnd.openxmlformats-officedocument.wordprocessingml.header+xml"/>
  <Override PartName="/word/footer47.xml" ContentType="application/vnd.openxmlformats-officedocument.wordprocessingml.footer+xml"/>
  <Override PartName="/word/header46.xml" ContentType="application/vnd.openxmlformats-officedocument.wordprocessingml.header+xml"/>
  <Override PartName="/word/footer48.xml" ContentType="application/vnd.openxmlformats-officedocument.wordprocessingml.footer+xml"/>
  <Override PartName="/word/footer49.xml" ContentType="application/vnd.openxmlformats-officedocument.wordprocessingml.footer+xml"/>
  <Override PartName="/word/header47.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48.xml" ContentType="application/vnd.openxmlformats-officedocument.wordprocessingml.header+xml"/>
  <Override PartName="/word/header49.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0.xml" ContentType="application/vnd.openxmlformats-officedocument.wordprocessingml.header+xml"/>
  <Override PartName="/word/footer54.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3.xml" ContentType="application/vnd.openxmlformats-officedocument.wordprocessingml.header+xml"/>
  <Override PartName="/word/footer57.xml" ContentType="application/vnd.openxmlformats-officedocument.wordprocessingml.footer+xml"/>
  <Override PartName="/word/header54.xml" ContentType="application/vnd.openxmlformats-officedocument.wordprocessingml.header+xml"/>
  <Override PartName="/word/header55.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56.xml" ContentType="application/vnd.openxmlformats-officedocument.wordprocessingml.header+xml"/>
  <Override PartName="/word/footer60.xml" ContentType="application/vnd.openxmlformats-officedocument.wordprocessingml.footer+xml"/>
  <Override PartName="/word/header57.xml" ContentType="application/vnd.openxmlformats-officedocument.wordprocessingml.header+xml"/>
  <Override PartName="/word/footer6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D23D6" w14:textId="4491206B" w:rsidR="00B63F33" w:rsidRPr="0069460E" w:rsidRDefault="00B63F33">
      <w:pPr>
        <w:spacing w:before="480" w:after="240"/>
        <w:rPr>
          <w:b/>
          <w:i/>
          <w:smallCaps/>
          <w:sz w:val="40"/>
        </w:rPr>
      </w:pPr>
      <w:bookmarkStart w:id="0" w:name="_Hlk97892978"/>
      <w:r>
        <w:rPr>
          <w:rFonts w:cs="Arial"/>
          <w:b/>
          <w:smallCaps/>
          <w:sz w:val="40"/>
          <w:szCs w:val="40"/>
        </w:rPr>
        <w:tab/>
      </w:r>
      <w:r>
        <w:rPr>
          <w:rFonts w:cs="Arial"/>
          <w:b/>
          <w:smallCaps/>
          <w:sz w:val="40"/>
          <w:szCs w:val="40"/>
        </w:rPr>
        <w:tab/>
      </w:r>
      <w:r>
        <w:rPr>
          <w:rFonts w:cs="Arial"/>
          <w:b/>
          <w:smallCaps/>
          <w:sz w:val="40"/>
          <w:szCs w:val="40"/>
        </w:rPr>
        <w:tab/>
      </w:r>
      <w:r>
        <w:rPr>
          <w:rFonts w:cs="Arial"/>
          <w:b/>
          <w:smallCaps/>
          <w:sz w:val="40"/>
          <w:szCs w:val="40"/>
        </w:rPr>
        <w:tab/>
      </w:r>
      <w:r>
        <w:rPr>
          <w:rFonts w:cs="Arial"/>
          <w:b/>
          <w:smallCaps/>
          <w:sz w:val="40"/>
          <w:szCs w:val="40"/>
        </w:rPr>
        <w:tab/>
      </w:r>
      <w:r>
        <w:rPr>
          <w:rFonts w:cs="Arial"/>
          <w:b/>
          <w:smallCaps/>
          <w:sz w:val="40"/>
          <w:szCs w:val="40"/>
        </w:rPr>
        <w:tab/>
      </w:r>
      <w:r>
        <w:rPr>
          <w:rFonts w:cs="Arial"/>
          <w:b/>
          <w:smallCaps/>
          <w:sz w:val="40"/>
          <w:szCs w:val="40"/>
        </w:rPr>
        <w:tab/>
      </w:r>
    </w:p>
    <w:bookmarkEnd w:id="0"/>
    <w:p w14:paraId="39A49F49" w14:textId="77777777" w:rsidR="00B63F33" w:rsidRDefault="00B63F33">
      <w:pPr>
        <w:spacing w:before="480" w:after="240"/>
        <w:jc w:val="center"/>
        <w:rPr>
          <w:rFonts w:cs="Arial"/>
          <w:b/>
          <w:smallCaps/>
          <w:sz w:val="40"/>
          <w:szCs w:val="40"/>
        </w:rPr>
      </w:pPr>
      <w:r>
        <w:rPr>
          <w:rFonts w:cs="Arial"/>
          <w:b/>
          <w:smallCaps/>
          <w:sz w:val="40"/>
          <w:szCs w:val="40"/>
        </w:rPr>
        <w:t xml:space="preserve"> [</w:t>
      </w:r>
      <w:r>
        <w:rPr>
          <w:rFonts w:cs="Arial"/>
          <w:b/>
          <w:smallCaps/>
          <w:sz w:val="40"/>
          <w:szCs w:val="40"/>
          <w:highlight w:val="yellow"/>
        </w:rPr>
        <w:t>Wind</w:t>
      </w:r>
      <w:r>
        <w:rPr>
          <w:rFonts w:cs="Arial"/>
          <w:b/>
          <w:smallCaps/>
          <w:sz w:val="40"/>
          <w:szCs w:val="40"/>
        </w:rPr>
        <w:t>] [</w:t>
      </w:r>
      <w:r>
        <w:rPr>
          <w:rFonts w:cs="Arial"/>
          <w:b/>
          <w:smallCaps/>
          <w:sz w:val="40"/>
          <w:szCs w:val="40"/>
          <w:highlight w:val="yellow"/>
        </w:rPr>
        <w:t>Solar</w:t>
      </w:r>
      <w:r>
        <w:rPr>
          <w:rFonts w:cs="Arial"/>
          <w:b/>
          <w:smallCaps/>
          <w:sz w:val="40"/>
          <w:szCs w:val="40"/>
        </w:rPr>
        <w:t>] Energy Purchase Agreement</w:t>
      </w:r>
    </w:p>
    <w:p w14:paraId="7B7F857D" w14:textId="77777777" w:rsidR="00B63F33" w:rsidRDefault="00B63F33">
      <w:pPr>
        <w:spacing w:before="480"/>
        <w:jc w:val="center"/>
        <w:rPr>
          <w:rFonts w:cs="Arial"/>
          <w:b/>
          <w:smallCaps/>
          <w:sz w:val="32"/>
          <w:szCs w:val="32"/>
        </w:rPr>
      </w:pPr>
      <w:r>
        <w:rPr>
          <w:rFonts w:cs="Arial"/>
          <w:b/>
          <w:smallCaps/>
          <w:sz w:val="32"/>
          <w:szCs w:val="32"/>
        </w:rPr>
        <w:t>between</w:t>
      </w:r>
    </w:p>
    <w:p w14:paraId="6F8E5639" w14:textId="267F434E" w:rsidR="00DB646C" w:rsidRDefault="00732A95">
      <w:pPr>
        <w:spacing w:before="480"/>
        <w:jc w:val="center"/>
        <w:rPr>
          <w:rFonts w:cs="Arial"/>
          <w:b/>
          <w:smallCaps/>
          <w:sz w:val="40"/>
          <w:szCs w:val="40"/>
        </w:rPr>
      </w:pPr>
      <w:bookmarkStart w:id="1" w:name="_Hlk150953641"/>
      <w:r>
        <w:rPr>
          <w:rFonts w:cs="Arial"/>
          <w:b/>
          <w:smallCaps/>
          <w:sz w:val="40"/>
          <w:szCs w:val="40"/>
        </w:rPr>
        <w:t>Northern States Power Company</w:t>
      </w:r>
      <w:bookmarkEnd w:id="1"/>
    </w:p>
    <w:p w14:paraId="011A07AB" w14:textId="77777777" w:rsidR="00B63F33" w:rsidRDefault="00B63F33">
      <w:pPr>
        <w:spacing w:before="480"/>
        <w:jc w:val="center"/>
        <w:rPr>
          <w:rFonts w:cs="Arial"/>
          <w:b/>
          <w:smallCaps/>
          <w:sz w:val="32"/>
          <w:szCs w:val="32"/>
        </w:rPr>
      </w:pPr>
      <w:r>
        <w:rPr>
          <w:rFonts w:cs="Arial"/>
          <w:b/>
          <w:smallCaps/>
          <w:sz w:val="32"/>
          <w:szCs w:val="32"/>
        </w:rPr>
        <w:t>and</w:t>
      </w:r>
    </w:p>
    <w:p w14:paraId="5EA4D8FA" w14:textId="77777777" w:rsidR="00B63F33" w:rsidRDefault="00B63F33">
      <w:pPr>
        <w:spacing w:before="480"/>
        <w:jc w:val="center"/>
        <w:rPr>
          <w:rFonts w:cs="Arial"/>
          <w:b/>
          <w:smallCaps/>
          <w:sz w:val="40"/>
          <w:szCs w:val="40"/>
        </w:rPr>
      </w:pPr>
      <w:r>
        <w:rPr>
          <w:rFonts w:cs="Arial"/>
          <w:b/>
          <w:smallCaps/>
          <w:sz w:val="40"/>
          <w:szCs w:val="40"/>
          <w:highlight w:val="yellow"/>
        </w:rPr>
        <w:t>[_______________]</w:t>
      </w:r>
    </w:p>
    <w:p w14:paraId="7524CEF4" w14:textId="77777777" w:rsidR="00B63F33" w:rsidRDefault="00B63F33">
      <w:pPr>
        <w:spacing w:before="240" w:after="240"/>
        <w:jc w:val="center"/>
        <w:rPr>
          <w:b/>
          <w:smallCaps/>
          <w:sz w:val="40"/>
        </w:rPr>
      </w:pPr>
    </w:p>
    <w:p w14:paraId="20244DAB" w14:textId="77777777" w:rsidR="00B63F33" w:rsidRDefault="00B63F33">
      <w:pPr>
        <w:spacing w:before="240" w:after="240"/>
        <w:jc w:val="center"/>
        <w:rPr>
          <w:b/>
          <w:smallCaps/>
          <w:sz w:val="40"/>
        </w:rPr>
      </w:pPr>
    </w:p>
    <w:p w14:paraId="2BC469AC" w14:textId="77777777" w:rsidR="00B63F33" w:rsidRDefault="00B63F33">
      <w:pPr>
        <w:spacing w:before="240" w:after="240"/>
        <w:jc w:val="center"/>
        <w:rPr>
          <w:b/>
          <w:smallCaps/>
          <w:sz w:val="40"/>
        </w:rPr>
      </w:pPr>
    </w:p>
    <w:p w14:paraId="2916A914" w14:textId="77777777" w:rsidR="00B63F33" w:rsidRDefault="00B63F33">
      <w:pPr>
        <w:spacing w:before="240" w:after="240"/>
        <w:jc w:val="center"/>
        <w:rPr>
          <w:b/>
          <w:smallCaps/>
          <w:sz w:val="40"/>
        </w:rPr>
      </w:pPr>
    </w:p>
    <w:p w14:paraId="65612394" w14:textId="2BA910E3" w:rsidR="00B63F33" w:rsidRDefault="00B63F33">
      <w:pPr>
        <w:keepLines/>
        <w:spacing w:after="240"/>
        <w:jc w:val="center"/>
        <w:rPr>
          <w:rFonts w:ascii="Times New Roman" w:hAnsi="Times New Roman"/>
          <w:sz w:val="16"/>
          <w:szCs w:val="20"/>
        </w:rPr>
      </w:pPr>
      <w:r>
        <w:rPr>
          <w:rFonts w:ascii="Times New Roman" w:hAnsi="Times New Roman"/>
          <w:sz w:val="32"/>
          <w:szCs w:val="32"/>
        </w:rPr>
        <w:t xml:space="preserve">                 </w:t>
      </w:r>
      <w:r>
        <w:rPr>
          <w:rFonts w:ascii="Times New Roman" w:hAnsi="Times New Roman"/>
          <w:noProof/>
          <w:sz w:val="32"/>
          <w:szCs w:val="32"/>
        </w:rPr>
        <w:drawing>
          <wp:inline distT="0" distB="0" distL="0" distR="0" wp14:anchorId="67FC27DC" wp14:editId="61D3573D">
            <wp:extent cx="3305175" cy="609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05175" cy="609600"/>
                    </a:xfrm>
                    <a:prstGeom prst="rect">
                      <a:avLst/>
                    </a:prstGeom>
                    <a:noFill/>
                    <a:ln>
                      <a:noFill/>
                    </a:ln>
                  </pic:spPr>
                </pic:pic>
              </a:graphicData>
            </a:graphic>
          </wp:inline>
        </w:drawing>
      </w:r>
    </w:p>
    <w:p w14:paraId="5A9ED143" w14:textId="77777777" w:rsidR="00B63F33" w:rsidRDefault="00B63F33"/>
    <w:p w14:paraId="19CED1C8" w14:textId="77777777" w:rsidR="00B63F33" w:rsidRDefault="00B63F33"/>
    <w:p w14:paraId="2E52A259" w14:textId="77777777" w:rsidR="00B63F33" w:rsidRDefault="00B63F33"/>
    <w:p w14:paraId="332B0F1E" w14:textId="77777777" w:rsidR="00B63F33" w:rsidRDefault="00B63F33">
      <w:pPr>
        <w:jc w:val="center"/>
        <w:rPr>
          <w:b/>
          <w:sz w:val="32"/>
          <w:szCs w:val="32"/>
        </w:rPr>
        <w:sectPr w:rsidR="00B63F33">
          <w:headerReference w:type="even" r:id="rId13"/>
          <w:headerReference w:type="default" r:id="rId14"/>
          <w:footerReference w:type="even" r:id="rId15"/>
          <w:footerReference w:type="default" r:id="rId16"/>
          <w:headerReference w:type="first" r:id="rId17"/>
          <w:footerReference w:type="first" r:id="rId18"/>
          <w:pgSz w:w="12240" w:h="15840" w:code="1"/>
          <w:pgMar w:top="1584" w:right="1440" w:bottom="1440" w:left="1440" w:header="1440" w:footer="576" w:gutter="0"/>
          <w:pgNumType w:fmt="lowerRoman" w:start="1"/>
          <w:cols w:space="720"/>
          <w:titlePg/>
        </w:sectPr>
      </w:pPr>
      <w:r>
        <w:rPr>
          <w:b/>
          <w:sz w:val="32"/>
          <w:szCs w:val="32"/>
        </w:rPr>
        <w:t>- [</w:t>
      </w:r>
      <w:r>
        <w:rPr>
          <w:b/>
          <w:sz w:val="32"/>
          <w:szCs w:val="32"/>
          <w:highlight w:val="yellow"/>
        </w:rPr>
        <w:t>date</w:t>
      </w:r>
      <w:r>
        <w:rPr>
          <w:b/>
          <w:sz w:val="32"/>
          <w:szCs w:val="32"/>
        </w:rPr>
        <w:t>] -</w:t>
      </w:r>
      <w:bookmarkStart w:id="2" w:name="_Hlk97892979"/>
    </w:p>
    <w:bookmarkEnd w:id="2"/>
    <w:p w14:paraId="2A1D5235" w14:textId="66E6F107" w:rsidR="00B63F33" w:rsidRDefault="00B63F33">
      <w:pPr>
        <w:keepNext/>
        <w:keepLines/>
        <w:tabs>
          <w:tab w:val="right" w:leader="dot" w:pos="9288"/>
        </w:tabs>
        <w:ind w:left="1440" w:hanging="1440"/>
        <w:jc w:val="right"/>
        <w:rPr>
          <w:rFonts w:cs="Arial"/>
          <w:b/>
          <w:smallCaps/>
          <w:szCs w:val="20"/>
        </w:rPr>
      </w:pPr>
    </w:p>
    <w:p w14:paraId="22CEBFB1" w14:textId="77777777" w:rsidR="0069392A" w:rsidRDefault="0069392A" w:rsidP="0036414B">
      <w:pPr>
        <w:pStyle w:val="TOC1"/>
        <w:rPr>
          <w:rStyle w:val="Hyperlink"/>
          <w:noProof/>
          <w:color w:val="auto"/>
          <w:u w:val="none"/>
        </w:rPr>
      </w:pPr>
      <w:bookmarkStart w:id="3" w:name="mpTableOfContents"/>
    </w:p>
    <w:p w14:paraId="6A6D32BC" w14:textId="3F6F103D" w:rsidR="007C5A7E" w:rsidRPr="005357FF" w:rsidRDefault="00B63F33" w:rsidP="0036414B">
      <w:pPr>
        <w:pStyle w:val="TOC1"/>
        <w:rPr>
          <w:rFonts w:asciiTheme="minorHAnsi" w:eastAsiaTheme="minorEastAsia" w:hAnsiTheme="minorHAnsi"/>
          <w:sz w:val="22"/>
        </w:rPr>
      </w:pPr>
      <w:r>
        <w:rPr>
          <w:rStyle w:val="Hyperlink"/>
          <w:noProof/>
          <w:color w:val="auto"/>
          <w:u w:val="none"/>
        </w:rPr>
        <w:t>Article 1 - Rules of Interpretation</w:t>
      </w:r>
      <w:r>
        <w:rPr>
          <w:noProof/>
          <w:webHidden/>
        </w:rPr>
        <w:tab/>
        <w:t>1</w:t>
      </w:r>
    </w:p>
    <w:p w14:paraId="7A40353A" w14:textId="3D1689EA"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1.1</w:t>
      </w:r>
      <w:r>
        <w:rPr>
          <w:rFonts w:asciiTheme="minorHAnsi" w:eastAsiaTheme="minorEastAsia" w:hAnsiTheme="minorHAnsi" w:cstheme="minorBidi"/>
          <w:noProof/>
          <w:sz w:val="22"/>
          <w:szCs w:val="22"/>
        </w:rPr>
        <w:tab/>
      </w:r>
      <w:r>
        <w:rPr>
          <w:rStyle w:val="Hyperlink"/>
          <w:noProof/>
          <w:color w:val="auto"/>
          <w:u w:val="none"/>
        </w:rPr>
        <w:t>Interpretation</w:t>
      </w:r>
      <w:r>
        <w:rPr>
          <w:noProof/>
          <w:webHidden/>
        </w:rPr>
        <w:tab/>
        <w:t>1</w:t>
      </w:r>
    </w:p>
    <w:p w14:paraId="0C46F799" w14:textId="370AB3CE"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1.2</w:t>
      </w:r>
      <w:r>
        <w:rPr>
          <w:rFonts w:asciiTheme="minorHAnsi" w:eastAsiaTheme="minorEastAsia" w:hAnsiTheme="minorHAnsi" w:cstheme="minorBidi"/>
          <w:noProof/>
          <w:sz w:val="22"/>
          <w:szCs w:val="22"/>
        </w:rPr>
        <w:tab/>
      </w:r>
      <w:r>
        <w:rPr>
          <w:rStyle w:val="Hyperlink"/>
          <w:noProof/>
          <w:color w:val="auto"/>
          <w:u w:val="none"/>
        </w:rPr>
        <w:t>Interpretation with Other Agreements</w:t>
      </w:r>
      <w:r>
        <w:rPr>
          <w:noProof/>
          <w:webHidden/>
        </w:rPr>
        <w:tab/>
        <w:t>2</w:t>
      </w:r>
    </w:p>
    <w:p w14:paraId="19955012" w14:textId="2E534265"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1.3</w:t>
      </w:r>
      <w:r>
        <w:rPr>
          <w:rFonts w:asciiTheme="minorHAnsi" w:eastAsiaTheme="minorEastAsia" w:hAnsiTheme="minorHAnsi" w:cstheme="minorBidi"/>
          <w:noProof/>
          <w:sz w:val="22"/>
          <w:szCs w:val="22"/>
        </w:rPr>
        <w:tab/>
      </w:r>
      <w:r>
        <w:rPr>
          <w:rStyle w:val="Hyperlink"/>
          <w:noProof/>
          <w:color w:val="auto"/>
          <w:u w:val="none"/>
        </w:rPr>
        <w:t>Good Faith and Fair Dealing</w:t>
      </w:r>
      <w:r>
        <w:rPr>
          <w:noProof/>
          <w:webHidden/>
        </w:rPr>
        <w:tab/>
        <w:t>2</w:t>
      </w:r>
    </w:p>
    <w:p w14:paraId="102D91D1" w14:textId="6EC0DD07"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2 – Term and Termination</w:t>
      </w:r>
      <w:r>
        <w:rPr>
          <w:noProof/>
          <w:webHidden/>
        </w:rPr>
        <w:tab/>
        <w:t>3</w:t>
      </w:r>
    </w:p>
    <w:p w14:paraId="3F3FB925" w14:textId="48267AAF"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3 – Facility Description</w:t>
      </w:r>
      <w:r>
        <w:rPr>
          <w:noProof/>
          <w:webHidden/>
        </w:rPr>
        <w:tab/>
        <w:t>3</w:t>
      </w:r>
    </w:p>
    <w:p w14:paraId="0AAE9F74" w14:textId="4A2B316E"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3.1</w:t>
      </w:r>
      <w:r>
        <w:rPr>
          <w:rFonts w:asciiTheme="minorHAnsi" w:eastAsiaTheme="minorEastAsia" w:hAnsiTheme="minorHAnsi" w:cstheme="minorBidi"/>
          <w:noProof/>
          <w:sz w:val="22"/>
          <w:szCs w:val="22"/>
        </w:rPr>
        <w:tab/>
      </w:r>
      <w:r>
        <w:rPr>
          <w:rStyle w:val="Hyperlink"/>
          <w:noProof/>
          <w:color w:val="auto"/>
          <w:u w:val="none"/>
        </w:rPr>
        <w:t>Description</w:t>
      </w:r>
      <w:r>
        <w:rPr>
          <w:noProof/>
          <w:webHidden/>
        </w:rPr>
        <w:tab/>
        <w:t>3</w:t>
      </w:r>
    </w:p>
    <w:p w14:paraId="6827E4E7" w14:textId="2685E76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3.2</w:t>
      </w:r>
      <w:r>
        <w:rPr>
          <w:rFonts w:asciiTheme="minorHAnsi" w:eastAsiaTheme="minorEastAsia" w:hAnsiTheme="minorHAnsi" w:cstheme="minorBidi"/>
          <w:noProof/>
          <w:sz w:val="22"/>
          <w:szCs w:val="22"/>
        </w:rPr>
        <w:tab/>
      </w:r>
      <w:r>
        <w:rPr>
          <w:rStyle w:val="Hyperlink"/>
          <w:noProof/>
          <w:color w:val="auto"/>
          <w:u w:val="none"/>
        </w:rPr>
        <w:t>General Design of the Facility</w:t>
      </w:r>
      <w:r>
        <w:rPr>
          <w:noProof/>
          <w:webHidden/>
        </w:rPr>
        <w:tab/>
        <w:t>3</w:t>
      </w:r>
    </w:p>
    <w:p w14:paraId="5D8561DC" w14:textId="0642B4BD"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4 - Implementation</w:t>
      </w:r>
      <w:r>
        <w:rPr>
          <w:noProof/>
          <w:webHidden/>
        </w:rPr>
        <w:tab/>
        <w:t>3</w:t>
      </w:r>
    </w:p>
    <w:p w14:paraId="61081CFF" w14:textId="3BA4E908"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4.1</w:t>
      </w:r>
      <w:r>
        <w:rPr>
          <w:rFonts w:asciiTheme="minorHAnsi" w:eastAsiaTheme="minorEastAsia" w:hAnsiTheme="minorHAnsi" w:cstheme="minorBidi"/>
          <w:noProof/>
          <w:sz w:val="22"/>
          <w:szCs w:val="22"/>
        </w:rPr>
        <w:tab/>
      </w:r>
      <w:r>
        <w:rPr>
          <w:rStyle w:val="Hyperlink"/>
          <w:noProof/>
          <w:color w:val="auto"/>
          <w:u w:val="none"/>
        </w:rPr>
        <w:t>Project Development</w:t>
      </w:r>
      <w:r>
        <w:rPr>
          <w:noProof/>
          <w:webHidden/>
        </w:rPr>
        <w:tab/>
        <w:t>3</w:t>
      </w:r>
    </w:p>
    <w:p w14:paraId="0F4D47F1" w14:textId="10BA2827"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4.2</w:t>
      </w:r>
      <w:r>
        <w:rPr>
          <w:rFonts w:asciiTheme="minorHAnsi" w:eastAsiaTheme="minorEastAsia" w:hAnsiTheme="minorHAnsi" w:cstheme="minorBidi"/>
          <w:noProof/>
          <w:sz w:val="22"/>
          <w:szCs w:val="22"/>
        </w:rPr>
        <w:tab/>
      </w:r>
      <w:r>
        <w:rPr>
          <w:rStyle w:val="Hyperlink"/>
          <w:noProof/>
          <w:color w:val="auto"/>
          <w:u w:val="none"/>
        </w:rPr>
        <w:t>Environmental Matters</w:t>
      </w:r>
      <w:r>
        <w:rPr>
          <w:noProof/>
          <w:webHidden/>
        </w:rPr>
        <w:tab/>
        <w:t>6</w:t>
      </w:r>
    </w:p>
    <w:p w14:paraId="22CDB235" w14:textId="4A720DD8"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4.3</w:t>
      </w:r>
      <w:r>
        <w:rPr>
          <w:rFonts w:asciiTheme="minorHAnsi" w:eastAsiaTheme="minorEastAsia" w:hAnsiTheme="minorHAnsi" w:cstheme="minorBidi"/>
          <w:noProof/>
          <w:sz w:val="22"/>
          <w:szCs w:val="22"/>
        </w:rPr>
        <w:tab/>
      </w:r>
      <w:r>
        <w:rPr>
          <w:rStyle w:val="Hyperlink"/>
          <w:noProof/>
          <w:color w:val="auto"/>
          <w:u w:val="none"/>
        </w:rPr>
        <w:t>Permits</w:t>
      </w:r>
      <w:r>
        <w:rPr>
          <w:noProof/>
          <w:webHidden/>
        </w:rPr>
        <w:tab/>
        <w:t>7</w:t>
      </w:r>
    </w:p>
    <w:p w14:paraId="483A63EF" w14:textId="4CF232E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4.4</w:t>
      </w:r>
      <w:r>
        <w:rPr>
          <w:rFonts w:asciiTheme="minorHAnsi" w:eastAsiaTheme="minorEastAsia" w:hAnsiTheme="minorHAnsi" w:cstheme="minorBidi"/>
          <w:noProof/>
          <w:sz w:val="22"/>
          <w:szCs w:val="22"/>
        </w:rPr>
        <w:tab/>
      </w:r>
      <w:r>
        <w:rPr>
          <w:rStyle w:val="Hyperlink"/>
          <w:noProof/>
          <w:color w:val="auto"/>
          <w:u w:val="none"/>
        </w:rPr>
        <w:t>Safety Requirements; Governmental Inspections</w:t>
      </w:r>
      <w:r>
        <w:rPr>
          <w:noProof/>
          <w:webHidden/>
        </w:rPr>
        <w:tab/>
        <w:t>7</w:t>
      </w:r>
    </w:p>
    <w:p w14:paraId="0318A903" w14:textId="68ADD6F2"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4.5</w:t>
      </w:r>
      <w:r>
        <w:rPr>
          <w:rFonts w:asciiTheme="minorHAnsi" w:eastAsiaTheme="minorEastAsia" w:hAnsiTheme="minorHAnsi" w:cstheme="minorBidi"/>
          <w:noProof/>
          <w:sz w:val="22"/>
          <w:szCs w:val="22"/>
        </w:rPr>
        <w:tab/>
      </w:r>
      <w:r>
        <w:rPr>
          <w:rStyle w:val="Hyperlink"/>
          <w:noProof/>
          <w:color w:val="auto"/>
          <w:u w:val="none"/>
        </w:rPr>
        <w:t>Commercial Operation</w:t>
      </w:r>
      <w:r>
        <w:rPr>
          <w:noProof/>
          <w:webHidden/>
        </w:rPr>
        <w:tab/>
        <w:t>8</w:t>
      </w:r>
    </w:p>
    <w:p w14:paraId="64187BC1" w14:textId="4F5DBE54"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4.6</w:t>
      </w:r>
      <w:r>
        <w:rPr>
          <w:rFonts w:asciiTheme="minorHAnsi" w:eastAsiaTheme="minorEastAsia" w:hAnsiTheme="minorHAnsi" w:cstheme="minorBidi"/>
          <w:noProof/>
          <w:sz w:val="22"/>
          <w:szCs w:val="22"/>
        </w:rPr>
        <w:tab/>
      </w:r>
      <w:r>
        <w:rPr>
          <w:rStyle w:val="Hyperlink"/>
          <w:noProof/>
          <w:color w:val="auto"/>
          <w:u w:val="none"/>
        </w:rPr>
        <w:t>Test Energy</w:t>
      </w:r>
      <w:r>
        <w:rPr>
          <w:noProof/>
          <w:webHidden/>
        </w:rPr>
        <w:tab/>
        <w:t>11</w:t>
      </w:r>
    </w:p>
    <w:p w14:paraId="1A5086A4" w14:textId="35B6CE92"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5 - Delivery</w:t>
      </w:r>
      <w:r>
        <w:rPr>
          <w:noProof/>
          <w:webHidden/>
        </w:rPr>
        <w:tab/>
        <w:t>11</w:t>
      </w:r>
    </w:p>
    <w:p w14:paraId="1E49FECC" w14:textId="2A589BF5"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5.1</w:t>
      </w:r>
      <w:r>
        <w:rPr>
          <w:rFonts w:asciiTheme="minorHAnsi" w:eastAsiaTheme="minorEastAsia" w:hAnsiTheme="minorHAnsi" w:cstheme="minorBidi"/>
          <w:noProof/>
          <w:sz w:val="22"/>
          <w:szCs w:val="22"/>
        </w:rPr>
        <w:tab/>
      </w:r>
      <w:r>
        <w:rPr>
          <w:rStyle w:val="Hyperlink"/>
          <w:noProof/>
          <w:color w:val="auto"/>
          <w:u w:val="none"/>
        </w:rPr>
        <w:t>Arrangements</w:t>
      </w:r>
      <w:r>
        <w:rPr>
          <w:noProof/>
          <w:webHidden/>
        </w:rPr>
        <w:tab/>
        <w:t>11</w:t>
      </w:r>
    </w:p>
    <w:p w14:paraId="17C09AF3" w14:textId="6B0C06B4"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5.2</w:t>
      </w:r>
      <w:r>
        <w:rPr>
          <w:rFonts w:asciiTheme="minorHAnsi" w:eastAsiaTheme="minorEastAsia" w:hAnsiTheme="minorHAnsi" w:cstheme="minorBidi"/>
          <w:noProof/>
          <w:sz w:val="22"/>
          <w:szCs w:val="22"/>
        </w:rPr>
        <w:tab/>
      </w:r>
      <w:r>
        <w:rPr>
          <w:rStyle w:val="Hyperlink"/>
          <w:noProof/>
          <w:color w:val="auto"/>
          <w:u w:val="none"/>
        </w:rPr>
        <w:t>Market Changes</w:t>
      </w:r>
      <w:r>
        <w:rPr>
          <w:noProof/>
          <w:webHidden/>
        </w:rPr>
        <w:tab/>
        <w:t>12</w:t>
      </w:r>
    </w:p>
    <w:p w14:paraId="530510A7" w14:textId="69955C6A"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5.3</w:t>
      </w:r>
      <w:r>
        <w:rPr>
          <w:rFonts w:asciiTheme="minorHAnsi" w:eastAsiaTheme="minorEastAsia" w:hAnsiTheme="minorHAnsi" w:cstheme="minorBidi"/>
          <w:noProof/>
          <w:sz w:val="22"/>
          <w:szCs w:val="22"/>
        </w:rPr>
        <w:tab/>
      </w:r>
      <w:r>
        <w:rPr>
          <w:rStyle w:val="Hyperlink"/>
          <w:noProof/>
          <w:color w:val="auto"/>
          <w:u w:val="none"/>
        </w:rPr>
        <w:t>Electric Metering Devices</w:t>
      </w:r>
      <w:r>
        <w:rPr>
          <w:noProof/>
          <w:webHidden/>
        </w:rPr>
        <w:tab/>
        <w:t>13</w:t>
      </w:r>
    </w:p>
    <w:p w14:paraId="045CAF3D" w14:textId="217FE8BB"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5.4</w:t>
      </w:r>
      <w:r>
        <w:rPr>
          <w:rFonts w:asciiTheme="minorHAnsi" w:eastAsiaTheme="minorEastAsia" w:hAnsiTheme="minorHAnsi" w:cstheme="minorBidi"/>
          <w:noProof/>
          <w:sz w:val="22"/>
          <w:szCs w:val="22"/>
        </w:rPr>
        <w:tab/>
      </w:r>
      <w:r>
        <w:rPr>
          <w:rStyle w:val="Hyperlink"/>
          <w:noProof/>
          <w:color w:val="auto"/>
          <w:u w:val="none"/>
        </w:rPr>
        <w:t>Communication Protocols</w:t>
      </w:r>
      <w:r>
        <w:rPr>
          <w:noProof/>
          <w:webHidden/>
        </w:rPr>
        <w:tab/>
        <w:t>14</w:t>
      </w:r>
    </w:p>
    <w:p w14:paraId="72BB5F18" w14:textId="5A9D251E"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6 – Conditions Precedent</w:t>
      </w:r>
      <w:r>
        <w:rPr>
          <w:noProof/>
          <w:webHidden/>
        </w:rPr>
        <w:tab/>
        <w:t>14</w:t>
      </w:r>
    </w:p>
    <w:p w14:paraId="193C14CE" w14:textId="3BAB6D38"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6.1</w:t>
      </w:r>
      <w:r>
        <w:rPr>
          <w:rFonts w:asciiTheme="minorHAnsi" w:eastAsiaTheme="minorEastAsia" w:hAnsiTheme="minorHAnsi" w:cstheme="minorBidi"/>
          <w:noProof/>
          <w:sz w:val="22"/>
          <w:szCs w:val="22"/>
        </w:rPr>
        <w:tab/>
      </w:r>
      <w:r>
        <w:rPr>
          <w:rStyle w:val="Hyperlink"/>
          <w:noProof/>
          <w:color w:val="auto"/>
          <w:u w:val="none"/>
        </w:rPr>
        <w:t>PUC Approval</w:t>
      </w:r>
      <w:r>
        <w:rPr>
          <w:noProof/>
          <w:webHidden/>
        </w:rPr>
        <w:tab/>
        <w:t>14</w:t>
      </w:r>
    </w:p>
    <w:p w14:paraId="30F6EAB2" w14:textId="2277786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6.2</w:t>
      </w:r>
      <w:r>
        <w:rPr>
          <w:rFonts w:asciiTheme="minorHAnsi" w:eastAsiaTheme="minorEastAsia" w:hAnsiTheme="minorHAnsi" w:cstheme="minorBidi"/>
          <w:noProof/>
          <w:sz w:val="22"/>
          <w:szCs w:val="22"/>
        </w:rPr>
        <w:tab/>
      </w:r>
      <w:r>
        <w:rPr>
          <w:rStyle w:val="Hyperlink"/>
          <w:noProof/>
          <w:color w:val="auto"/>
          <w:u w:val="none"/>
        </w:rPr>
        <w:t>Other Company CPs</w:t>
      </w:r>
      <w:r>
        <w:rPr>
          <w:noProof/>
          <w:webHidden/>
        </w:rPr>
        <w:tab/>
        <w:t>15</w:t>
      </w:r>
    </w:p>
    <w:p w14:paraId="0B966990" w14:textId="55837DEE"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6.3</w:t>
      </w:r>
      <w:r>
        <w:rPr>
          <w:rFonts w:asciiTheme="minorHAnsi" w:eastAsiaTheme="minorEastAsia" w:hAnsiTheme="minorHAnsi" w:cstheme="minorBidi"/>
          <w:noProof/>
          <w:sz w:val="22"/>
          <w:szCs w:val="22"/>
        </w:rPr>
        <w:tab/>
      </w:r>
      <w:r>
        <w:rPr>
          <w:rStyle w:val="Hyperlink"/>
          <w:noProof/>
          <w:color w:val="auto"/>
          <w:u w:val="none"/>
        </w:rPr>
        <w:t>Seller CPs</w:t>
      </w:r>
      <w:r>
        <w:rPr>
          <w:noProof/>
          <w:webHidden/>
        </w:rPr>
        <w:tab/>
        <w:t>16</w:t>
      </w:r>
    </w:p>
    <w:p w14:paraId="245C63F3" w14:textId="3669BD14"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6.4</w:t>
      </w:r>
      <w:r>
        <w:rPr>
          <w:rFonts w:asciiTheme="minorHAnsi" w:eastAsiaTheme="minorEastAsia" w:hAnsiTheme="minorHAnsi" w:cstheme="minorBidi"/>
          <w:noProof/>
          <w:sz w:val="22"/>
          <w:szCs w:val="22"/>
        </w:rPr>
        <w:tab/>
      </w:r>
      <w:r>
        <w:rPr>
          <w:rStyle w:val="Hyperlink"/>
          <w:noProof/>
          <w:color w:val="auto"/>
          <w:u w:val="none"/>
        </w:rPr>
        <w:t>Return of Security Fund</w:t>
      </w:r>
      <w:r>
        <w:rPr>
          <w:noProof/>
          <w:webHidden/>
        </w:rPr>
        <w:tab/>
        <w:t>16</w:t>
      </w:r>
    </w:p>
    <w:p w14:paraId="07732252" w14:textId="32034AB1"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7 – Sale and Purchase</w:t>
      </w:r>
      <w:r>
        <w:rPr>
          <w:noProof/>
          <w:webHidden/>
        </w:rPr>
        <w:tab/>
        <w:t>16</w:t>
      </w:r>
    </w:p>
    <w:p w14:paraId="66F84A60" w14:textId="4E6CC835"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7.1</w:t>
      </w:r>
      <w:r>
        <w:rPr>
          <w:rFonts w:asciiTheme="minorHAnsi" w:eastAsiaTheme="minorEastAsia" w:hAnsiTheme="minorHAnsi" w:cstheme="minorBidi"/>
          <w:noProof/>
          <w:sz w:val="22"/>
          <w:szCs w:val="22"/>
        </w:rPr>
        <w:tab/>
      </w:r>
      <w:r>
        <w:rPr>
          <w:rStyle w:val="Hyperlink"/>
          <w:noProof/>
          <w:color w:val="auto"/>
          <w:u w:val="none"/>
        </w:rPr>
        <w:t>General Obligation</w:t>
      </w:r>
      <w:r>
        <w:rPr>
          <w:noProof/>
          <w:webHidden/>
        </w:rPr>
        <w:tab/>
        <w:t>16</w:t>
      </w:r>
    </w:p>
    <w:p w14:paraId="5E4A339E" w14:textId="3C0B7B13"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7.2</w:t>
      </w:r>
      <w:r>
        <w:rPr>
          <w:rFonts w:asciiTheme="minorHAnsi" w:eastAsiaTheme="minorEastAsia" w:hAnsiTheme="minorHAnsi" w:cstheme="minorBidi"/>
          <w:noProof/>
          <w:sz w:val="22"/>
          <w:szCs w:val="22"/>
        </w:rPr>
        <w:tab/>
      </w:r>
      <w:r>
        <w:rPr>
          <w:rStyle w:val="Hyperlink"/>
          <w:noProof/>
          <w:color w:val="auto"/>
          <w:u w:val="none"/>
        </w:rPr>
        <w:t>AGC</w:t>
      </w:r>
      <w:r>
        <w:rPr>
          <w:noProof/>
          <w:webHidden/>
        </w:rPr>
        <w:tab/>
        <w:t>16</w:t>
      </w:r>
    </w:p>
    <w:p w14:paraId="5FAB2012" w14:textId="7C6A55B8"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7.3</w:t>
      </w:r>
      <w:r>
        <w:rPr>
          <w:rFonts w:asciiTheme="minorHAnsi" w:eastAsiaTheme="minorEastAsia" w:hAnsiTheme="minorHAnsi" w:cstheme="minorBidi"/>
          <w:noProof/>
          <w:sz w:val="22"/>
          <w:szCs w:val="22"/>
        </w:rPr>
        <w:tab/>
      </w:r>
      <w:r>
        <w:rPr>
          <w:rStyle w:val="Hyperlink"/>
          <w:noProof/>
          <w:color w:val="auto"/>
          <w:u w:val="none"/>
        </w:rPr>
        <w:t>Environmental Attributes</w:t>
      </w:r>
      <w:r>
        <w:rPr>
          <w:noProof/>
          <w:webHidden/>
        </w:rPr>
        <w:tab/>
        <w:t>16</w:t>
      </w:r>
    </w:p>
    <w:p w14:paraId="42FA2D0D" w14:textId="04FFE87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7.4</w:t>
      </w:r>
      <w:r>
        <w:rPr>
          <w:rFonts w:asciiTheme="minorHAnsi" w:eastAsiaTheme="minorEastAsia" w:hAnsiTheme="minorHAnsi" w:cstheme="minorBidi"/>
          <w:noProof/>
          <w:sz w:val="22"/>
          <w:szCs w:val="22"/>
        </w:rPr>
        <w:tab/>
      </w:r>
      <w:r>
        <w:rPr>
          <w:rStyle w:val="Hyperlink"/>
          <w:noProof/>
          <w:color w:val="auto"/>
          <w:u w:val="none"/>
        </w:rPr>
        <w:t>Ancillary Services</w:t>
      </w:r>
      <w:r>
        <w:rPr>
          <w:noProof/>
          <w:webHidden/>
        </w:rPr>
        <w:tab/>
        <w:t>18</w:t>
      </w:r>
    </w:p>
    <w:p w14:paraId="129F35C0" w14:textId="3BE9A29E"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8 – Payment Calculations</w:t>
      </w:r>
      <w:r>
        <w:rPr>
          <w:noProof/>
          <w:webHidden/>
        </w:rPr>
        <w:tab/>
        <w:t>18</w:t>
      </w:r>
    </w:p>
    <w:p w14:paraId="00DDBB0E" w14:textId="591F3A6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8.1</w:t>
      </w:r>
      <w:r>
        <w:rPr>
          <w:rFonts w:asciiTheme="minorHAnsi" w:eastAsiaTheme="minorEastAsia" w:hAnsiTheme="minorHAnsi" w:cstheme="minorBidi"/>
          <w:noProof/>
          <w:sz w:val="22"/>
          <w:szCs w:val="22"/>
        </w:rPr>
        <w:tab/>
      </w:r>
      <w:r>
        <w:rPr>
          <w:rStyle w:val="Hyperlink"/>
          <w:noProof/>
          <w:color w:val="auto"/>
          <w:u w:val="none"/>
        </w:rPr>
        <w:t>Payment for Renewable Energy</w:t>
      </w:r>
      <w:r>
        <w:rPr>
          <w:noProof/>
          <w:webHidden/>
        </w:rPr>
        <w:tab/>
        <w:t>18</w:t>
      </w:r>
    </w:p>
    <w:p w14:paraId="555DB352" w14:textId="6F579A96"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8.2</w:t>
      </w:r>
      <w:r>
        <w:rPr>
          <w:rFonts w:asciiTheme="minorHAnsi" w:eastAsiaTheme="minorEastAsia" w:hAnsiTheme="minorHAnsi" w:cstheme="minorBidi"/>
          <w:noProof/>
          <w:sz w:val="22"/>
          <w:szCs w:val="22"/>
        </w:rPr>
        <w:tab/>
      </w:r>
      <w:r>
        <w:rPr>
          <w:rStyle w:val="Hyperlink"/>
          <w:noProof/>
          <w:color w:val="auto"/>
          <w:u w:val="none"/>
        </w:rPr>
        <w:t>Excess Energy</w:t>
      </w:r>
      <w:r>
        <w:rPr>
          <w:noProof/>
          <w:webHidden/>
        </w:rPr>
        <w:tab/>
        <w:t>19</w:t>
      </w:r>
    </w:p>
    <w:p w14:paraId="06B52337" w14:textId="3311AA95"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8.3</w:t>
      </w:r>
      <w:r>
        <w:rPr>
          <w:rFonts w:asciiTheme="minorHAnsi" w:eastAsiaTheme="minorEastAsia" w:hAnsiTheme="minorHAnsi" w:cstheme="minorBidi"/>
          <w:noProof/>
          <w:sz w:val="22"/>
          <w:szCs w:val="22"/>
        </w:rPr>
        <w:tab/>
      </w:r>
      <w:r>
        <w:rPr>
          <w:rStyle w:val="Hyperlink"/>
          <w:noProof/>
          <w:color w:val="auto"/>
          <w:u w:val="none"/>
        </w:rPr>
        <w:t>Curtailment</w:t>
      </w:r>
      <w:r>
        <w:rPr>
          <w:noProof/>
          <w:webHidden/>
        </w:rPr>
        <w:tab/>
        <w:t>19</w:t>
      </w:r>
    </w:p>
    <w:p w14:paraId="6E14AC6D" w14:textId="749F854E"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8.4</w:t>
      </w:r>
      <w:r>
        <w:rPr>
          <w:rFonts w:asciiTheme="minorHAnsi" w:eastAsiaTheme="minorEastAsia" w:hAnsiTheme="minorHAnsi" w:cstheme="minorBidi"/>
          <w:noProof/>
          <w:sz w:val="22"/>
          <w:szCs w:val="22"/>
        </w:rPr>
        <w:tab/>
      </w:r>
      <w:r>
        <w:rPr>
          <w:rStyle w:val="Hyperlink"/>
          <w:noProof/>
          <w:color w:val="auto"/>
          <w:u w:val="none"/>
        </w:rPr>
        <w:t>Energy Payment</w:t>
      </w:r>
      <w:r>
        <w:rPr>
          <w:rStyle w:val="Hyperlink"/>
          <w:noProof/>
          <w:color w:val="auto"/>
          <w:spacing w:val="-7"/>
          <w:u w:val="none"/>
        </w:rPr>
        <w:t xml:space="preserve"> </w:t>
      </w:r>
      <w:r>
        <w:rPr>
          <w:rStyle w:val="Hyperlink"/>
          <w:noProof/>
          <w:color w:val="auto"/>
          <w:u w:val="none"/>
        </w:rPr>
        <w:t>Reduction</w:t>
      </w:r>
      <w:r>
        <w:rPr>
          <w:noProof/>
          <w:webHidden/>
        </w:rPr>
        <w:tab/>
        <w:t>20</w:t>
      </w:r>
    </w:p>
    <w:p w14:paraId="2A27BB53" w14:textId="7AF96081"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9 – Billing and Payment</w:t>
      </w:r>
      <w:r>
        <w:rPr>
          <w:noProof/>
          <w:webHidden/>
        </w:rPr>
        <w:tab/>
        <w:t>21</w:t>
      </w:r>
    </w:p>
    <w:p w14:paraId="514A1E04" w14:textId="257085D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lastRenderedPageBreak/>
        <w:t>9.1</w:t>
      </w:r>
      <w:r>
        <w:rPr>
          <w:rFonts w:asciiTheme="minorHAnsi" w:eastAsiaTheme="minorEastAsia" w:hAnsiTheme="minorHAnsi" w:cstheme="minorBidi"/>
          <w:noProof/>
          <w:sz w:val="22"/>
          <w:szCs w:val="22"/>
        </w:rPr>
        <w:tab/>
      </w:r>
      <w:r>
        <w:rPr>
          <w:rStyle w:val="Hyperlink"/>
          <w:noProof/>
          <w:color w:val="auto"/>
          <w:u w:val="none"/>
        </w:rPr>
        <w:t>Billing</w:t>
      </w:r>
      <w:r>
        <w:rPr>
          <w:noProof/>
          <w:webHidden/>
        </w:rPr>
        <w:tab/>
        <w:t>21</w:t>
      </w:r>
    </w:p>
    <w:p w14:paraId="236E6881" w14:textId="77D8FA50"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9.2</w:t>
      </w:r>
      <w:r>
        <w:rPr>
          <w:rFonts w:asciiTheme="minorHAnsi" w:eastAsiaTheme="minorEastAsia" w:hAnsiTheme="minorHAnsi" w:cstheme="minorBidi"/>
          <w:noProof/>
          <w:sz w:val="22"/>
          <w:szCs w:val="22"/>
        </w:rPr>
        <w:tab/>
      </w:r>
      <w:r>
        <w:rPr>
          <w:rStyle w:val="Hyperlink"/>
          <w:noProof/>
          <w:color w:val="auto"/>
          <w:u w:val="none"/>
        </w:rPr>
        <w:t>Payment</w:t>
      </w:r>
      <w:r>
        <w:rPr>
          <w:noProof/>
          <w:webHidden/>
        </w:rPr>
        <w:tab/>
        <w:t>21</w:t>
      </w:r>
    </w:p>
    <w:p w14:paraId="5DABE9AA" w14:textId="60FF8A08"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9.3</w:t>
      </w:r>
      <w:r>
        <w:rPr>
          <w:rFonts w:asciiTheme="minorHAnsi" w:eastAsiaTheme="minorEastAsia" w:hAnsiTheme="minorHAnsi" w:cstheme="minorBidi"/>
          <w:noProof/>
          <w:sz w:val="22"/>
          <w:szCs w:val="22"/>
        </w:rPr>
        <w:tab/>
      </w:r>
      <w:r>
        <w:rPr>
          <w:rStyle w:val="Hyperlink"/>
          <w:noProof/>
          <w:color w:val="auto"/>
          <w:u w:val="none"/>
        </w:rPr>
        <w:t>Billing DIsputes</w:t>
      </w:r>
      <w:r>
        <w:rPr>
          <w:noProof/>
          <w:webHidden/>
        </w:rPr>
        <w:tab/>
        <w:t>22</w:t>
      </w:r>
    </w:p>
    <w:p w14:paraId="272FFF91" w14:textId="2BE73A6C"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10 – Operations and Maintenance</w:t>
      </w:r>
      <w:r>
        <w:rPr>
          <w:noProof/>
          <w:webHidden/>
        </w:rPr>
        <w:tab/>
        <w:t>22</w:t>
      </w:r>
    </w:p>
    <w:p w14:paraId="776C2B39" w14:textId="032EA18B"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10.1</w:t>
      </w:r>
      <w:r>
        <w:rPr>
          <w:rFonts w:asciiTheme="minorHAnsi" w:eastAsiaTheme="minorEastAsia" w:hAnsiTheme="minorHAnsi" w:cstheme="minorBidi"/>
          <w:noProof/>
          <w:sz w:val="22"/>
          <w:szCs w:val="22"/>
        </w:rPr>
        <w:tab/>
      </w:r>
      <w:r>
        <w:rPr>
          <w:rStyle w:val="Hyperlink"/>
          <w:noProof/>
          <w:color w:val="auto"/>
          <w:u w:val="none"/>
        </w:rPr>
        <w:t>Operation and Administration</w:t>
      </w:r>
      <w:r>
        <w:rPr>
          <w:noProof/>
          <w:webHidden/>
        </w:rPr>
        <w:tab/>
        <w:t>22</w:t>
      </w:r>
    </w:p>
    <w:p w14:paraId="0BC329D7" w14:textId="64C5262A"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10.2</w:t>
      </w:r>
      <w:r>
        <w:rPr>
          <w:rFonts w:asciiTheme="minorHAnsi" w:eastAsiaTheme="minorEastAsia" w:hAnsiTheme="minorHAnsi" w:cstheme="minorBidi"/>
          <w:noProof/>
          <w:sz w:val="22"/>
          <w:szCs w:val="22"/>
        </w:rPr>
        <w:tab/>
      </w:r>
      <w:r>
        <w:rPr>
          <w:rStyle w:val="Hyperlink"/>
          <w:noProof/>
          <w:color w:val="auto"/>
          <w:u w:val="none"/>
        </w:rPr>
        <w:t>Facility Maintenance</w:t>
      </w:r>
      <w:r>
        <w:rPr>
          <w:noProof/>
          <w:webHidden/>
        </w:rPr>
        <w:tab/>
        <w:t>23</w:t>
      </w:r>
    </w:p>
    <w:p w14:paraId="5928C198" w14:textId="2BDC678B"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10.3</w:t>
      </w:r>
      <w:r>
        <w:rPr>
          <w:rFonts w:asciiTheme="minorHAnsi" w:eastAsiaTheme="minorEastAsia" w:hAnsiTheme="minorHAnsi" w:cstheme="minorBidi"/>
          <w:noProof/>
          <w:sz w:val="22"/>
          <w:szCs w:val="22"/>
        </w:rPr>
        <w:tab/>
      </w:r>
      <w:r>
        <w:rPr>
          <w:rStyle w:val="Hyperlink"/>
          <w:noProof/>
          <w:color w:val="auto"/>
          <w:u w:val="none"/>
        </w:rPr>
        <w:t>Books and Records</w:t>
      </w:r>
      <w:r>
        <w:rPr>
          <w:noProof/>
          <w:webHidden/>
        </w:rPr>
        <w:tab/>
        <w:t>23</w:t>
      </w:r>
    </w:p>
    <w:p w14:paraId="0B97CFAB" w14:textId="2E3D446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10.4</w:t>
      </w:r>
      <w:r>
        <w:rPr>
          <w:rFonts w:asciiTheme="minorHAnsi" w:eastAsiaTheme="minorEastAsia" w:hAnsiTheme="minorHAnsi" w:cstheme="minorBidi"/>
          <w:noProof/>
          <w:sz w:val="22"/>
          <w:szCs w:val="22"/>
        </w:rPr>
        <w:tab/>
      </w:r>
      <w:r>
        <w:rPr>
          <w:rStyle w:val="Hyperlink"/>
          <w:noProof/>
          <w:color w:val="auto"/>
          <w:u w:val="none"/>
        </w:rPr>
        <w:t>Access to Facility</w:t>
      </w:r>
      <w:r>
        <w:rPr>
          <w:noProof/>
          <w:webHidden/>
        </w:rPr>
        <w:tab/>
        <w:t>24</w:t>
      </w:r>
    </w:p>
    <w:p w14:paraId="5A0698BA" w14:textId="2C81C397"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10.5</w:t>
      </w:r>
      <w:r>
        <w:rPr>
          <w:rFonts w:asciiTheme="minorHAnsi" w:eastAsiaTheme="minorEastAsia" w:hAnsiTheme="minorHAnsi" w:cstheme="minorBidi"/>
          <w:noProof/>
          <w:sz w:val="22"/>
          <w:szCs w:val="22"/>
        </w:rPr>
        <w:tab/>
      </w:r>
      <w:r>
        <w:rPr>
          <w:rStyle w:val="Hyperlink"/>
          <w:noProof/>
          <w:color w:val="auto"/>
          <w:u w:val="none"/>
        </w:rPr>
        <w:t>Real Time Data</w:t>
      </w:r>
      <w:r>
        <w:rPr>
          <w:noProof/>
          <w:webHidden/>
        </w:rPr>
        <w:tab/>
        <w:t>24</w:t>
      </w:r>
    </w:p>
    <w:p w14:paraId="4A1E0DF5" w14:textId="60DFE99D"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10.6</w:t>
      </w:r>
      <w:r>
        <w:rPr>
          <w:rFonts w:asciiTheme="minorHAnsi" w:eastAsiaTheme="minorEastAsia" w:hAnsiTheme="minorHAnsi" w:cstheme="minorBidi"/>
          <w:noProof/>
          <w:sz w:val="22"/>
          <w:szCs w:val="22"/>
        </w:rPr>
        <w:tab/>
      </w:r>
      <w:r>
        <w:rPr>
          <w:rStyle w:val="Hyperlink"/>
          <w:noProof/>
          <w:color w:val="auto"/>
          <w:u w:val="none"/>
        </w:rPr>
        <w:t>Accreditation</w:t>
      </w:r>
      <w:r>
        <w:rPr>
          <w:noProof/>
          <w:webHidden/>
        </w:rPr>
        <w:tab/>
        <w:t>25</w:t>
      </w:r>
    </w:p>
    <w:p w14:paraId="7E0A498A" w14:textId="133E3AA0"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10.7</w:t>
      </w:r>
      <w:r>
        <w:rPr>
          <w:rFonts w:asciiTheme="minorHAnsi" w:eastAsiaTheme="minorEastAsia" w:hAnsiTheme="minorHAnsi" w:cstheme="minorBidi"/>
          <w:noProof/>
          <w:sz w:val="22"/>
          <w:szCs w:val="22"/>
        </w:rPr>
        <w:tab/>
      </w:r>
      <w:r>
        <w:rPr>
          <w:rStyle w:val="Hyperlink"/>
          <w:noProof/>
          <w:color w:val="auto"/>
          <w:u w:val="none"/>
        </w:rPr>
        <w:t>Operating Committee and Operating Procedures</w:t>
      </w:r>
      <w:r>
        <w:rPr>
          <w:noProof/>
          <w:webHidden/>
        </w:rPr>
        <w:tab/>
        <w:t>25</w:t>
      </w:r>
    </w:p>
    <w:p w14:paraId="6BB435A8" w14:textId="1A69CE21"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11 – Security for Performance</w:t>
      </w:r>
      <w:r>
        <w:rPr>
          <w:noProof/>
          <w:webHidden/>
        </w:rPr>
        <w:tab/>
        <w:t>25</w:t>
      </w:r>
    </w:p>
    <w:p w14:paraId="7B7B580D" w14:textId="3F4E47EB"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11.1</w:t>
      </w:r>
      <w:r>
        <w:rPr>
          <w:rFonts w:asciiTheme="minorHAnsi" w:eastAsiaTheme="minorEastAsia" w:hAnsiTheme="minorHAnsi" w:cstheme="minorBidi"/>
          <w:noProof/>
          <w:sz w:val="22"/>
          <w:szCs w:val="22"/>
        </w:rPr>
        <w:tab/>
      </w:r>
      <w:r>
        <w:rPr>
          <w:rStyle w:val="Hyperlink"/>
          <w:noProof/>
          <w:color w:val="auto"/>
          <w:u w:val="none"/>
        </w:rPr>
        <w:t>Security Fund</w:t>
      </w:r>
      <w:r>
        <w:rPr>
          <w:noProof/>
          <w:webHidden/>
        </w:rPr>
        <w:tab/>
        <w:t>25</w:t>
      </w:r>
    </w:p>
    <w:p w14:paraId="45EDEBD3" w14:textId="73FAC22F"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11.2</w:t>
      </w:r>
      <w:r>
        <w:rPr>
          <w:rFonts w:asciiTheme="minorHAnsi" w:eastAsiaTheme="minorEastAsia" w:hAnsiTheme="minorHAnsi" w:cstheme="minorBidi"/>
          <w:noProof/>
          <w:sz w:val="22"/>
          <w:szCs w:val="22"/>
        </w:rPr>
        <w:tab/>
      </w:r>
      <w:r>
        <w:rPr>
          <w:rStyle w:val="Hyperlink"/>
          <w:noProof/>
          <w:color w:val="auto"/>
          <w:u w:val="none"/>
        </w:rPr>
        <w:t>Replenishment</w:t>
      </w:r>
      <w:r>
        <w:rPr>
          <w:noProof/>
          <w:webHidden/>
        </w:rPr>
        <w:tab/>
        <w:t>26</w:t>
      </w:r>
    </w:p>
    <w:p w14:paraId="537CD64B" w14:textId="7C702420"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11.3</w:t>
      </w:r>
      <w:r>
        <w:rPr>
          <w:rFonts w:asciiTheme="minorHAnsi" w:eastAsiaTheme="minorEastAsia" w:hAnsiTheme="minorHAnsi" w:cstheme="minorBidi"/>
          <w:noProof/>
          <w:sz w:val="22"/>
          <w:szCs w:val="22"/>
        </w:rPr>
        <w:tab/>
      </w:r>
      <w:r>
        <w:rPr>
          <w:rStyle w:val="Hyperlink"/>
          <w:noProof/>
          <w:color w:val="auto"/>
          <w:u w:val="none"/>
        </w:rPr>
        <w:t>Form</w:t>
      </w:r>
      <w:r>
        <w:rPr>
          <w:noProof/>
          <w:webHidden/>
        </w:rPr>
        <w:tab/>
        <w:t>26</w:t>
      </w:r>
    </w:p>
    <w:p w14:paraId="7735D083" w14:textId="5F1D6EBF"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11.4</w:t>
      </w:r>
      <w:r>
        <w:rPr>
          <w:rFonts w:asciiTheme="minorHAnsi" w:eastAsiaTheme="minorEastAsia" w:hAnsiTheme="minorHAnsi" w:cstheme="minorBidi"/>
          <w:noProof/>
          <w:sz w:val="22"/>
          <w:szCs w:val="22"/>
        </w:rPr>
        <w:tab/>
      </w:r>
      <w:r>
        <w:rPr>
          <w:rStyle w:val="Hyperlink"/>
          <w:noProof/>
          <w:color w:val="auto"/>
          <w:u w:val="none"/>
        </w:rPr>
        <w:t>Replacement</w:t>
      </w:r>
      <w:r>
        <w:rPr>
          <w:noProof/>
          <w:webHidden/>
        </w:rPr>
        <w:tab/>
        <w:t>28</w:t>
      </w:r>
    </w:p>
    <w:p w14:paraId="668D268D" w14:textId="64E5EB2D"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11.5</w:t>
      </w:r>
      <w:r>
        <w:rPr>
          <w:rFonts w:asciiTheme="minorHAnsi" w:eastAsiaTheme="minorEastAsia" w:hAnsiTheme="minorHAnsi" w:cstheme="minorBidi"/>
          <w:noProof/>
          <w:sz w:val="22"/>
          <w:szCs w:val="22"/>
        </w:rPr>
        <w:tab/>
      </w:r>
      <w:r>
        <w:rPr>
          <w:rStyle w:val="Hyperlink"/>
          <w:noProof/>
          <w:color w:val="auto"/>
          <w:u w:val="none"/>
        </w:rPr>
        <w:t>Survival</w:t>
      </w:r>
      <w:r>
        <w:rPr>
          <w:noProof/>
          <w:webHidden/>
        </w:rPr>
        <w:tab/>
        <w:t>28</w:t>
      </w:r>
    </w:p>
    <w:p w14:paraId="500CDDE4" w14:textId="0373B346"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11.6</w:t>
      </w:r>
      <w:r>
        <w:rPr>
          <w:rFonts w:asciiTheme="minorHAnsi" w:eastAsiaTheme="minorEastAsia" w:hAnsiTheme="minorHAnsi" w:cstheme="minorBidi"/>
          <w:noProof/>
          <w:sz w:val="22"/>
          <w:szCs w:val="22"/>
        </w:rPr>
        <w:tab/>
      </w:r>
      <w:r>
        <w:rPr>
          <w:rStyle w:val="Hyperlink"/>
          <w:noProof/>
          <w:color w:val="auto"/>
          <w:u w:val="none"/>
        </w:rPr>
        <w:t>Expenses</w:t>
      </w:r>
      <w:r>
        <w:rPr>
          <w:noProof/>
          <w:webHidden/>
        </w:rPr>
        <w:tab/>
        <w:t>28</w:t>
      </w:r>
    </w:p>
    <w:p w14:paraId="18A95889" w14:textId="56CBFD80"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12 – Default and Remedies</w:t>
      </w:r>
      <w:r>
        <w:rPr>
          <w:noProof/>
          <w:webHidden/>
        </w:rPr>
        <w:tab/>
        <w:t>29</w:t>
      </w:r>
    </w:p>
    <w:p w14:paraId="33B6380B" w14:textId="0553799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12.1</w:t>
      </w:r>
      <w:r>
        <w:rPr>
          <w:rFonts w:asciiTheme="minorHAnsi" w:eastAsiaTheme="minorEastAsia" w:hAnsiTheme="minorHAnsi" w:cstheme="minorBidi"/>
          <w:noProof/>
          <w:sz w:val="22"/>
          <w:szCs w:val="22"/>
        </w:rPr>
        <w:tab/>
      </w:r>
      <w:r>
        <w:rPr>
          <w:rStyle w:val="Hyperlink"/>
          <w:noProof/>
          <w:color w:val="auto"/>
          <w:u w:val="none"/>
        </w:rPr>
        <w:t>Default by Seller: General</w:t>
      </w:r>
      <w:r>
        <w:rPr>
          <w:noProof/>
          <w:webHidden/>
        </w:rPr>
        <w:tab/>
        <w:t>29</w:t>
      </w:r>
    </w:p>
    <w:p w14:paraId="7090C147" w14:textId="63ED01D6"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12.2</w:t>
      </w:r>
      <w:r>
        <w:rPr>
          <w:rFonts w:asciiTheme="minorHAnsi" w:eastAsiaTheme="minorEastAsia" w:hAnsiTheme="minorHAnsi" w:cstheme="minorBidi"/>
          <w:noProof/>
          <w:sz w:val="22"/>
          <w:szCs w:val="22"/>
        </w:rPr>
        <w:tab/>
      </w:r>
      <w:r>
        <w:rPr>
          <w:rStyle w:val="Hyperlink"/>
          <w:noProof/>
          <w:color w:val="auto"/>
          <w:u w:val="none"/>
        </w:rPr>
        <w:t>Default by Seller: Failure to Achieve Critical Path Development Milestone or COD</w:t>
      </w:r>
      <w:r>
        <w:rPr>
          <w:noProof/>
          <w:webHidden/>
        </w:rPr>
        <w:tab/>
        <w:t>33</w:t>
      </w:r>
    </w:p>
    <w:p w14:paraId="7C53C556" w14:textId="6DF2F6F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12.3</w:t>
      </w:r>
      <w:r>
        <w:rPr>
          <w:rFonts w:asciiTheme="minorHAnsi" w:eastAsiaTheme="minorEastAsia" w:hAnsiTheme="minorHAnsi" w:cstheme="minorBidi"/>
          <w:noProof/>
          <w:sz w:val="22"/>
          <w:szCs w:val="22"/>
        </w:rPr>
        <w:tab/>
      </w:r>
      <w:r>
        <w:rPr>
          <w:rStyle w:val="Hyperlink"/>
          <w:noProof/>
          <w:color w:val="auto"/>
          <w:u w:val="none"/>
        </w:rPr>
        <w:t>Default by Company</w:t>
      </w:r>
      <w:r>
        <w:rPr>
          <w:noProof/>
          <w:webHidden/>
        </w:rPr>
        <w:tab/>
        <w:t>35</w:t>
      </w:r>
    </w:p>
    <w:p w14:paraId="34C680E2" w14:textId="202F8BF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12.4</w:t>
      </w:r>
      <w:r>
        <w:rPr>
          <w:rFonts w:asciiTheme="minorHAnsi" w:eastAsiaTheme="minorEastAsia" w:hAnsiTheme="minorHAnsi" w:cstheme="minorBidi"/>
          <w:noProof/>
          <w:sz w:val="22"/>
          <w:szCs w:val="22"/>
        </w:rPr>
        <w:tab/>
      </w:r>
      <w:r>
        <w:rPr>
          <w:rStyle w:val="Hyperlink"/>
          <w:noProof/>
          <w:color w:val="auto"/>
          <w:u w:val="none"/>
        </w:rPr>
        <w:t>Limitations on Damages</w:t>
      </w:r>
      <w:r>
        <w:rPr>
          <w:noProof/>
          <w:webHidden/>
        </w:rPr>
        <w:tab/>
        <w:t>36</w:t>
      </w:r>
    </w:p>
    <w:p w14:paraId="3E4B35B1" w14:textId="25CBC612"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12.5</w:t>
      </w:r>
      <w:r>
        <w:rPr>
          <w:rFonts w:asciiTheme="minorHAnsi" w:eastAsiaTheme="minorEastAsia" w:hAnsiTheme="minorHAnsi" w:cstheme="minorBidi"/>
          <w:noProof/>
          <w:sz w:val="22"/>
          <w:szCs w:val="22"/>
        </w:rPr>
        <w:tab/>
      </w:r>
      <w:r>
        <w:rPr>
          <w:rStyle w:val="Hyperlink"/>
          <w:noProof/>
          <w:color w:val="auto"/>
          <w:u w:val="none"/>
        </w:rPr>
        <w:t>Bankruptcy</w:t>
      </w:r>
      <w:r>
        <w:rPr>
          <w:noProof/>
          <w:webHidden/>
        </w:rPr>
        <w:tab/>
        <w:t>37</w:t>
      </w:r>
    </w:p>
    <w:p w14:paraId="6657AE1A" w14:textId="12212553"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12.6</w:t>
      </w:r>
      <w:r>
        <w:rPr>
          <w:rFonts w:asciiTheme="minorHAnsi" w:eastAsiaTheme="minorEastAsia" w:hAnsiTheme="minorHAnsi" w:cstheme="minorBidi"/>
          <w:noProof/>
          <w:sz w:val="22"/>
          <w:szCs w:val="22"/>
        </w:rPr>
        <w:tab/>
      </w:r>
      <w:r>
        <w:rPr>
          <w:rStyle w:val="Hyperlink"/>
          <w:noProof/>
          <w:color w:val="auto"/>
          <w:u w:val="none"/>
        </w:rPr>
        <w:t>Cumulative Remedies</w:t>
      </w:r>
      <w:r>
        <w:rPr>
          <w:noProof/>
          <w:webHidden/>
        </w:rPr>
        <w:tab/>
        <w:t>38</w:t>
      </w:r>
    </w:p>
    <w:p w14:paraId="4CBEFD60" w14:textId="4376D1B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12.7</w:t>
      </w:r>
      <w:r>
        <w:rPr>
          <w:rFonts w:asciiTheme="minorHAnsi" w:eastAsiaTheme="minorEastAsia" w:hAnsiTheme="minorHAnsi" w:cstheme="minorBidi"/>
          <w:noProof/>
          <w:sz w:val="22"/>
          <w:szCs w:val="22"/>
        </w:rPr>
        <w:tab/>
      </w:r>
      <w:r>
        <w:rPr>
          <w:rStyle w:val="Hyperlink"/>
          <w:noProof/>
          <w:color w:val="auto"/>
          <w:u w:val="none"/>
        </w:rPr>
        <w:t>Duty to Mitigate</w:t>
      </w:r>
      <w:r>
        <w:rPr>
          <w:noProof/>
          <w:webHidden/>
        </w:rPr>
        <w:tab/>
        <w:t>38</w:t>
      </w:r>
    </w:p>
    <w:p w14:paraId="560B3539" w14:textId="4E792CB4"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13 – Dispute Resolution</w:t>
      </w:r>
      <w:r>
        <w:rPr>
          <w:noProof/>
          <w:webHidden/>
        </w:rPr>
        <w:tab/>
        <w:t>38</w:t>
      </w:r>
    </w:p>
    <w:p w14:paraId="0705B463" w14:textId="78D6753F"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13.1</w:t>
      </w:r>
      <w:r>
        <w:rPr>
          <w:rFonts w:asciiTheme="minorHAnsi" w:eastAsiaTheme="minorEastAsia" w:hAnsiTheme="minorHAnsi" w:cstheme="minorBidi"/>
          <w:noProof/>
          <w:sz w:val="22"/>
          <w:szCs w:val="22"/>
        </w:rPr>
        <w:tab/>
      </w:r>
      <w:r>
        <w:rPr>
          <w:rStyle w:val="Hyperlink"/>
          <w:noProof/>
          <w:color w:val="auto"/>
          <w:u w:val="none"/>
        </w:rPr>
        <w:t>Negotiation</w:t>
      </w:r>
      <w:r>
        <w:rPr>
          <w:noProof/>
          <w:webHidden/>
        </w:rPr>
        <w:tab/>
        <w:t>38</w:t>
      </w:r>
    </w:p>
    <w:p w14:paraId="00E5E3EE" w14:textId="0365CAFD"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13.2</w:t>
      </w:r>
      <w:r>
        <w:rPr>
          <w:rFonts w:asciiTheme="minorHAnsi" w:eastAsiaTheme="minorEastAsia" w:hAnsiTheme="minorHAnsi" w:cstheme="minorBidi"/>
          <w:noProof/>
          <w:sz w:val="22"/>
          <w:szCs w:val="22"/>
        </w:rPr>
        <w:tab/>
      </w:r>
      <w:r>
        <w:rPr>
          <w:rStyle w:val="Hyperlink"/>
          <w:noProof/>
          <w:color w:val="auto"/>
          <w:u w:val="none"/>
        </w:rPr>
        <w:t>Time Bar</w:t>
      </w:r>
      <w:r>
        <w:rPr>
          <w:noProof/>
          <w:webHidden/>
        </w:rPr>
        <w:tab/>
        <w:t>39</w:t>
      </w:r>
    </w:p>
    <w:p w14:paraId="0E65CA26" w14:textId="07C4678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13.3</w:t>
      </w:r>
      <w:r>
        <w:rPr>
          <w:rFonts w:asciiTheme="minorHAnsi" w:eastAsiaTheme="minorEastAsia" w:hAnsiTheme="minorHAnsi" w:cstheme="minorBidi"/>
          <w:noProof/>
          <w:sz w:val="22"/>
          <w:szCs w:val="22"/>
        </w:rPr>
        <w:tab/>
      </w:r>
      <w:r>
        <w:rPr>
          <w:rStyle w:val="Hyperlink"/>
          <w:noProof/>
          <w:color w:val="auto"/>
          <w:u w:val="none"/>
        </w:rPr>
        <w:t>No Termination Pending Dispute Resolution</w:t>
      </w:r>
      <w:r>
        <w:rPr>
          <w:noProof/>
          <w:webHidden/>
        </w:rPr>
        <w:tab/>
        <w:t>39</w:t>
      </w:r>
    </w:p>
    <w:p w14:paraId="7208DF7B" w14:textId="3BE2CCA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13.4</w:t>
      </w:r>
      <w:r>
        <w:rPr>
          <w:rFonts w:asciiTheme="minorHAnsi" w:eastAsiaTheme="minorEastAsia" w:hAnsiTheme="minorHAnsi" w:cstheme="minorBidi"/>
          <w:noProof/>
          <w:sz w:val="22"/>
          <w:szCs w:val="22"/>
        </w:rPr>
        <w:tab/>
      </w:r>
      <w:r>
        <w:rPr>
          <w:rStyle w:val="Hyperlink"/>
          <w:noProof/>
          <w:color w:val="auto"/>
          <w:u w:val="none"/>
        </w:rPr>
        <w:t>Governing Law</w:t>
      </w:r>
      <w:r>
        <w:rPr>
          <w:noProof/>
          <w:webHidden/>
        </w:rPr>
        <w:tab/>
        <w:t>40</w:t>
      </w:r>
    </w:p>
    <w:p w14:paraId="5972688E" w14:textId="4F75176B"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13.5</w:t>
      </w:r>
      <w:r>
        <w:rPr>
          <w:rFonts w:asciiTheme="minorHAnsi" w:eastAsiaTheme="minorEastAsia" w:hAnsiTheme="minorHAnsi" w:cstheme="minorBidi"/>
          <w:noProof/>
          <w:sz w:val="22"/>
          <w:szCs w:val="22"/>
        </w:rPr>
        <w:tab/>
      </w:r>
      <w:r>
        <w:rPr>
          <w:rStyle w:val="Hyperlink"/>
          <w:noProof/>
          <w:color w:val="auto"/>
          <w:u w:val="none"/>
        </w:rPr>
        <w:t>Venue</w:t>
      </w:r>
      <w:r>
        <w:rPr>
          <w:noProof/>
          <w:webHidden/>
        </w:rPr>
        <w:tab/>
        <w:t>40</w:t>
      </w:r>
    </w:p>
    <w:p w14:paraId="1522035A" w14:textId="6752419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13.6</w:t>
      </w:r>
      <w:r>
        <w:rPr>
          <w:rFonts w:asciiTheme="minorHAnsi" w:eastAsiaTheme="minorEastAsia" w:hAnsiTheme="minorHAnsi" w:cstheme="minorBidi"/>
          <w:noProof/>
          <w:sz w:val="22"/>
          <w:szCs w:val="22"/>
        </w:rPr>
        <w:tab/>
      </w:r>
      <w:r>
        <w:rPr>
          <w:rStyle w:val="Hyperlink"/>
          <w:noProof/>
          <w:color w:val="auto"/>
          <w:u w:val="none"/>
        </w:rPr>
        <w:t>Waiver of Jury Trial</w:t>
      </w:r>
      <w:r>
        <w:rPr>
          <w:noProof/>
          <w:webHidden/>
        </w:rPr>
        <w:tab/>
        <w:t>40</w:t>
      </w:r>
    </w:p>
    <w:p w14:paraId="54E75F86" w14:textId="6D433AD4"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14 – Force Majeure</w:t>
      </w:r>
      <w:r>
        <w:rPr>
          <w:noProof/>
          <w:webHidden/>
        </w:rPr>
        <w:tab/>
        <w:t>40</w:t>
      </w:r>
    </w:p>
    <w:p w14:paraId="4B486AA0" w14:textId="640AB802"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14.1</w:t>
      </w:r>
      <w:r>
        <w:rPr>
          <w:rFonts w:asciiTheme="minorHAnsi" w:eastAsiaTheme="minorEastAsia" w:hAnsiTheme="minorHAnsi" w:cstheme="minorBidi"/>
          <w:noProof/>
          <w:sz w:val="22"/>
          <w:szCs w:val="22"/>
        </w:rPr>
        <w:tab/>
      </w:r>
      <w:r>
        <w:rPr>
          <w:rStyle w:val="Hyperlink"/>
          <w:noProof/>
          <w:color w:val="auto"/>
          <w:u w:val="none"/>
        </w:rPr>
        <w:t>Definition</w:t>
      </w:r>
      <w:r>
        <w:rPr>
          <w:noProof/>
          <w:webHidden/>
        </w:rPr>
        <w:tab/>
        <w:t>40</w:t>
      </w:r>
    </w:p>
    <w:p w14:paraId="342F58E3" w14:textId="110556D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14.2</w:t>
      </w:r>
      <w:r>
        <w:rPr>
          <w:rFonts w:asciiTheme="minorHAnsi" w:eastAsiaTheme="minorEastAsia" w:hAnsiTheme="minorHAnsi" w:cstheme="minorBidi"/>
          <w:noProof/>
          <w:sz w:val="22"/>
          <w:szCs w:val="22"/>
        </w:rPr>
        <w:tab/>
      </w:r>
      <w:r>
        <w:rPr>
          <w:rStyle w:val="Hyperlink"/>
          <w:noProof/>
          <w:color w:val="auto"/>
          <w:u w:val="none"/>
        </w:rPr>
        <w:t>Applicability of Force Majeure</w:t>
      </w:r>
      <w:r>
        <w:rPr>
          <w:noProof/>
          <w:webHidden/>
        </w:rPr>
        <w:tab/>
        <w:t>41</w:t>
      </w:r>
    </w:p>
    <w:p w14:paraId="1771D15D" w14:textId="56F6802D"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14.3</w:t>
      </w:r>
      <w:r>
        <w:rPr>
          <w:rFonts w:asciiTheme="minorHAnsi" w:eastAsiaTheme="minorEastAsia" w:hAnsiTheme="minorHAnsi" w:cstheme="minorBidi"/>
          <w:noProof/>
          <w:sz w:val="22"/>
          <w:szCs w:val="22"/>
        </w:rPr>
        <w:tab/>
      </w:r>
      <w:r>
        <w:rPr>
          <w:rStyle w:val="Hyperlink"/>
          <w:noProof/>
          <w:color w:val="auto"/>
          <w:u w:val="none"/>
        </w:rPr>
        <w:t>Limitations on Effect of Force Majeure</w:t>
      </w:r>
      <w:r>
        <w:rPr>
          <w:noProof/>
          <w:webHidden/>
        </w:rPr>
        <w:tab/>
        <w:t>42</w:t>
      </w:r>
    </w:p>
    <w:p w14:paraId="0479888C" w14:textId="2C1E3BA4"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15 – Representations and Warranties</w:t>
      </w:r>
      <w:r>
        <w:rPr>
          <w:noProof/>
          <w:webHidden/>
        </w:rPr>
        <w:tab/>
        <w:t>42</w:t>
      </w:r>
    </w:p>
    <w:p w14:paraId="45781955" w14:textId="672AA422"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16 - Insurance</w:t>
      </w:r>
      <w:r>
        <w:rPr>
          <w:noProof/>
          <w:webHidden/>
        </w:rPr>
        <w:tab/>
        <w:t>44</w:t>
      </w:r>
    </w:p>
    <w:p w14:paraId="2B70ADBE" w14:textId="468EDE6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16.1</w:t>
      </w:r>
      <w:r>
        <w:rPr>
          <w:rFonts w:asciiTheme="minorHAnsi" w:eastAsiaTheme="minorEastAsia" w:hAnsiTheme="minorHAnsi" w:cstheme="minorBidi"/>
          <w:noProof/>
          <w:sz w:val="22"/>
          <w:szCs w:val="22"/>
        </w:rPr>
        <w:tab/>
      </w:r>
      <w:r>
        <w:rPr>
          <w:rStyle w:val="Hyperlink"/>
          <w:noProof/>
          <w:color w:val="auto"/>
          <w:u w:val="none"/>
        </w:rPr>
        <w:t>Evidence of Insurance</w:t>
      </w:r>
      <w:r>
        <w:rPr>
          <w:noProof/>
          <w:webHidden/>
        </w:rPr>
        <w:tab/>
        <w:t>44</w:t>
      </w:r>
    </w:p>
    <w:p w14:paraId="1CC62007" w14:textId="1877E6F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lastRenderedPageBreak/>
        <w:t>16.2</w:t>
      </w:r>
      <w:r>
        <w:rPr>
          <w:rFonts w:asciiTheme="minorHAnsi" w:eastAsiaTheme="minorEastAsia" w:hAnsiTheme="minorHAnsi" w:cstheme="minorBidi"/>
          <w:noProof/>
          <w:sz w:val="22"/>
          <w:szCs w:val="22"/>
        </w:rPr>
        <w:tab/>
      </w:r>
      <w:r>
        <w:rPr>
          <w:rStyle w:val="Hyperlink"/>
          <w:noProof/>
          <w:color w:val="auto"/>
          <w:u w:val="none"/>
        </w:rPr>
        <w:t>Policy Requirements</w:t>
      </w:r>
      <w:r>
        <w:rPr>
          <w:noProof/>
          <w:webHidden/>
        </w:rPr>
        <w:tab/>
        <w:t>44</w:t>
      </w:r>
    </w:p>
    <w:p w14:paraId="77C76363" w14:textId="0A44E11E"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16.3</w:t>
      </w:r>
      <w:r>
        <w:rPr>
          <w:rFonts w:asciiTheme="minorHAnsi" w:eastAsiaTheme="minorEastAsia" w:hAnsiTheme="minorHAnsi" w:cstheme="minorBidi"/>
          <w:noProof/>
          <w:sz w:val="22"/>
          <w:szCs w:val="22"/>
        </w:rPr>
        <w:tab/>
      </w:r>
      <w:r>
        <w:rPr>
          <w:rStyle w:val="Hyperlink"/>
          <w:noProof/>
          <w:color w:val="auto"/>
          <w:u w:val="none"/>
        </w:rPr>
        <w:t>No Implied Limitation</w:t>
      </w:r>
      <w:r>
        <w:rPr>
          <w:noProof/>
          <w:webHidden/>
        </w:rPr>
        <w:tab/>
        <w:t>44</w:t>
      </w:r>
    </w:p>
    <w:p w14:paraId="373CCBAB" w14:textId="5DAC71DF"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16.4</w:t>
      </w:r>
      <w:r>
        <w:rPr>
          <w:rFonts w:asciiTheme="minorHAnsi" w:eastAsiaTheme="minorEastAsia" w:hAnsiTheme="minorHAnsi" w:cstheme="minorBidi"/>
          <w:noProof/>
          <w:sz w:val="22"/>
          <w:szCs w:val="22"/>
        </w:rPr>
        <w:tab/>
      </w:r>
      <w:r>
        <w:rPr>
          <w:rStyle w:val="Hyperlink"/>
          <w:noProof/>
          <w:color w:val="auto"/>
          <w:u w:val="none"/>
        </w:rPr>
        <w:t>Term and Modification of Insurance</w:t>
      </w:r>
      <w:r>
        <w:rPr>
          <w:noProof/>
          <w:webHidden/>
        </w:rPr>
        <w:tab/>
        <w:t>45</w:t>
      </w:r>
    </w:p>
    <w:p w14:paraId="325E3EF5" w14:textId="3D79CB20"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16.5</w:t>
      </w:r>
      <w:r>
        <w:rPr>
          <w:rFonts w:asciiTheme="minorHAnsi" w:eastAsiaTheme="minorEastAsia" w:hAnsiTheme="minorHAnsi" w:cstheme="minorBidi"/>
          <w:noProof/>
          <w:sz w:val="22"/>
          <w:szCs w:val="22"/>
        </w:rPr>
        <w:tab/>
      </w:r>
      <w:r>
        <w:rPr>
          <w:rStyle w:val="Hyperlink"/>
          <w:noProof/>
          <w:color w:val="auto"/>
          <w:u w:val="none"/>
        </w:rPr>
        <w:t>Application of Proceeds</w:t>
      </w:r>
      <w:r>
        <w:rPr>
          <w:noProof/>
          <w:webHidden/>
        </w:rPr>
        <w:tab/>
        <w:t>45</w:t>
      </w:r>
    </w:p>
    <w:p w14:paraId="64A1FCB1" w14:textId="2540C4A7"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17 - Indemnity</w:t>
      </w:r>
      <w:r>
        <w:rPr>
          <w:noProof/>
          <w:webHidden/>
        </w:rPr>
        <w:tab/>
        <w:t>45</w:t>
      </w:r>
    </w:p>
    <w:p w14:paraId="3567FB47" w14:textId="2F51EC9D"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17.1</w:t>
      </w:r>
      <w:r>
        <w:rPr>
          <w:rFonts w:asciiTheme="minorHAnsi" w:eastAsiaTheme="minorEastAsia" w:hAnsiTheme="minorHAnsi" w:cstheme="minorBidi"/>
          <w:noProof/>
          <w:sz w:val="22"/>
          <w:szCs w:val="22"/>
        </w:rPr>
        <w:tab/>
      </w:r>
      <w:r>
        <w:rPr>
          <w:rStyle w:val="Hyperlink"/>
          <w:noProof/>
          <w:color w:val="auto"/>
          <w:u w:val="none"/>
        </w:rPr>
        <w:t>Indemnification: General</w:t>
      </w:r>
      <w:r>
        <w:rPr>
          <w:noProof/>
          <w:webHidden/>
        </w:rPr>
        <w:tab/>
        <w:t>45</w:t>
      </w:r>
    </w:p>
    <w:p w14:paraId="711F98A0" w14:textId="274CBE34"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17.2</w:t>
      </w:r>
      <w:r>
        <w:rPr>
          <w:rFonts w:asciiTheme="minorHAnsi" w:eastAsiaTheme="minorEastAsia" w:hAnsiTheme="minorHAnsi" w:cstheme="minorBidi"/>
          <w:noProof/>
          <w:sz w:val="22"/>
          <w:szCs w:val="22"/>
        </w:rPr>
        <w:tab/>
      </w:r>
      <w:r>
        <w:rPr>
          <w:rStyle w:val="Hyperlink"/>
          <w:noProof/>
          <w:color w:val="auto"/>
          <w:u w:val="none"/>
        </w:rPr>
        <w:t>Indemnification: Environmental</w:t>
      </w:r>
      <w:r>
        <w:rPr>
          <w:noProof/>
          <w:webHidden/>
        </w:rPr>
        <w:tab/>
        <w:t>46</w:t>
      </w:r>
    </w:p>
    <w:p w14:paraId="642F170D" w14:textId="73B8C5DB"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17.3</w:t>
      </w:r>
      <w:r>
        <w:rPr>
          <w:rFonts w:asciiTheme="minorHAnsi" w:eastAsiaTheme="minorEastAsia" w:hAnsiTheme="minorHAnsi" w:cstheme="minorBidi"/>
          <w:noProof/>
          <w:sz w:val="22"/>
          <w:szCs w:val="22"/>
        </w:rPr>
        <w:tab/>
      </w:r>
      <w:r>
        <w:rPr>
          <w:rStyle w:val="Hyperlink"/>
          <w:noProof/>
          <w:color w:val="auto"/>
          <w:u w:val="none"/>
        </w:rPr>
        <w:t>Indemnification: House Power</w:t>
      </w:r>
      <w:r>
        <w:rPr>
          <w:noProof/>
          <w:webHidden/>
        </w:rPr>
        <w:tab/>
        <w:t>46</w:t>
      </w:r>
    </w:p>
    <w:p w14:paraId="7D944155" w14:textId="5794BBA9"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17.4</w:t>
      </w:r>
      <w:r>
        <w:rPr>
          <w:rFonts w:asciiTheme="minorHAnsi" w:eastAsiaTheme="minorEastAsia" w:hAnsiTheme="minorHAnsi" w:cstheme="minorBidi"/>
          <w:noProof/>
          <w:sz w:val="22"/>
          <w:szCs w:val="22"/>
        </w:rPr>
        <w:tab/>
      </w:r>
      <w:r>
        <w:rPr>
          <w:rStyle w:val="Hyperlink"/>
          <w:noProof/>
          <w:color w:val="auto"/>
          <w:u w:val="none"/>
        </w:rPr>
        <w:t>Limitations</w:t>
      </w:r>
      <w:r>
        <w:rPr>
          <w:noProof/>
          <w:webHidden/>
        </w:rPr>
        <w:tab/>
        <w:t>46</w:t>
      </w:r>
    </w:p>
    <w:p w14:paraId="3B9B647F" w14:textId="1D84EF05"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17.5</w:t>
      </w:r>
      <w:r>
        <w:rPr>
          <w:rFonts w:asciiTheme="minorHAnsi" w:eastAsiaTheme="minorEastAsia" w:hAnsiTheme="minorHAnsi" w:cstheme="minorBidi"/>
          <w:noProof/>
          <w:sz w:val="22"/>
          <w:szCs w:val="22"/>
        </w:rPr>
        <w:tab/>
      </w:r>
      <w:r>
        <w:rPr>
          <w:rStyle w:val="Hyperlink"/>
          <w:noProof/>
          <w:color w:val="auto"/>
          <w:u w:val="none"/>
        </w:rPr>
        <w:t>Procedures</w:t>
      </w:r>
      <w:r>
        <w:rPr>
          <w:noProof/>
          <w:webHidden/>
        </w:rPr>
        <w:tab/>
        <w:t>46</w:t>
      </w:r>
    </w:p>
    <w:p w14:paraId="536B3779" w14:textId="40EB96E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17.6</w:t>
      </w:r>
      <w:r>
        <w:rPr>
          <w:rFonts w:asciiTheme="minorHAnsi" w:eastAsiaTheme="minorEastAsia" w:hAnsiTheme="minorHAnsi" w:cstheme="minorBidi"/>
          <w:noProof/>
          <w:sz w:val="22"/>
          <w:szCs w:val="22"/>
        </w:rPr>
        <w:tab/>
      </w:r>
      <w:r>
        <w:rPr>
          <w:rStyle w:val="Hyperlink"/>
          <w:noProof/>
          <w:color w:val="auto"/>
          <w:u w:val="none"/>
        </w:rPr>
        <w:t>Amounts Owed</w:t>
      </w:r>
      <w:r>
        <w:rPr>
          <w:noProof/>
          <w:webHidden/>
        </w:rPr>
        <w:tab/>
        <w:t>47</w:t>
      </w:r>
    </w:p>
    <w:p w14:paraId="533C06E8" w14:textId="5E7CC194"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18 – Lender Provisions</w:t>
      </w:r>
      <w:r>
        <w:rPr>
          <w:noProof/>
          <w:webHidden/>
        </w:rPr>
        <w:tab/>
        <w:t>47</w:t>
      </w:r>
    </w:p>
    <w:p w14:paraId="40E1C5FA" w14:textId="1634281E"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18.1</w:t>
      </w:r>
      <w:r>
        <w:rPr>
          <w:rFonts w:asciiTheme="minorHAnsi" w:eastAsiaTheme="minorEastAsia" w:hAnsiTheme="minorHAnsi" w:cstheme="minorBidi"/>
          <w:noProof/>
          <w:sz w:val="22"/>
          <w:szCs w:val="22"/>
        </w:rPr>
        <w:tab/>
      </w:r>
      <w:r>
        <w:rPr>
          <w:rStyle w:val="Hyperlink"/>
          <w:noProof/>
          <w:color w:val="auto"/>
          <w:u w:val="none"/>
        </w:rPr>
        <w:t>Accommodation of Facility Lender</w:t>
      </w:r>
      <w:r>
        <w:rPr>
          <w:noProof/>
          <w:webHidden/>
        </w:rPr>
        <w:tab/>
        <w:t>47</w:t>
      </w:r>
    </w:p>
    <w:p w14:paraId="3074DD8A" w14:textId="741E572F"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18.2</w:t>
      </w:r>
      <w:r>
        <w:rPr>
          <w:rFonts w:asciiTheme="minorHAnsi" w:eastAsiaTheme="minorEastAsia" w:hAnsiTheme="minorHAnsi" w:cstheme="minorBidi"/>
          <w:noProof/>
          <w:sz w:val="22"/>
          <w:szCs w:val="22"/>
        </w:rPr>
        <w:tab/>
      </w:r>
      <w:r>
        <w:rPr>
          <w:rStyle w:val="Hyperlink"/>
          <w:noProof/>
          <w:color w:val="auto"/>
          <w:u w:val="none"/>
        </w:rPr>
        <w:t>Notices</w:t>
      </w:r>
      <w:r>
        <w:rPr>
          <w:noProof/>
          <w:webHidden/>
        </w:rPr>
        <w:tab/>
        <w:t>48</w:t>
      </w:r>
    </w:p>
    <w:p w14:paraId="0E63C92F" w14:textId="694D5142"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19 - Assignment</w:t>
      </w:r>
      <w:r>
        <w:rPr>
          <w:noProof/>
          <w:webHidden/>
        </w:rPr>
        <w:tab/>
        <w:t>48</w:t>
      </w:r>
    </w:p>
    <w:p w14:paraId="2529BF95" w14:textId="4B1D1D23"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19.1</w:t>
      </w:r>
      <w:r>
        <w:rPr>
          <w:rFonts w:asciiTheme="minorHAnsi" w:eastAsiaTheme="minorEastAsia" w:hAnsiTheme="minorHAnsi" w:cstheme="minorBidi"/>
          <w:noProof/>
          <w:sz w:val="22"/>
          <w:szCs w:val="22"/>
        </w:rPr>
        <w:tab/>
      </w:r>
      <w:r>
        <w:rPr>
          <w:rStyle w:val="Hyperlink"/>
          <w:noProof/>
          <w:color w:val="auto"/>
          <w:u w:val="none"/>
        </w:rPr>
        <w:t>Assignment by Seller</w:t>
      </w:r>
      <w:r>
        <w:rPr>
          <w:noProof/>
          <w:webHidden/>
        </w:rPr>
        <w:tab/>
        <w:t>48</w:t>
      </w:r>
    </w:p>
    <w:p w14:paraId="4DA770C0" w14:textId="29DFC81C"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19.2</w:t>
      </w:r>
      <w:r>
        <w:rPr>
          <w:rFonts w:asciiTheme="minorHAnsi" w:eastAsiaTheme="minorEastAsia" w:hAnsiTheme="minorHAnsi" w:cstheme="minorBidi"/>
          <w:noProof/>
          <w:sz w:val="22"/>
          <w:szCs w:val="22"/>
        </w:rPr>
        <w:tab/>
      </w:r>
      <w:r>
        <w:rPr>
          <w:rStyle w:val="Hyperlink"/>
          <w:noProof/>
          <w:color w:val="auto"/>
          <w:u w:val="none"/>
        </w:rPr>
        <w:t>Assignment by Company</w:t>
      </w:r>
      <w:r>
        <w:rPr>
          <w:noProof/>
          <w:webHidden/>
        </w:rPr>
        <w:tab/>
        <w:t>49</w:t>
      </w:r>
    </w:p>
    <w:p w14:paraId="2B9D4361" w14:textId="58572CDA"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19.3</w:t>
      </w:r>
      <w:r>
        <w:rPr>
          <w:rFonts w:asciiTheme="minorHAnsi" w:eastAsiaTheme="minorEastAsia" w:hAnsiTheme="minorHAnsi" w:cstheme="minorBidi"/>
          <w:noProof/>
          <w:sz w:val="22"/>
          <w:szCs w:val="22"/>
        </w:rPr>
        <w:tab/>
      </w:r>
      <w:r>
        <w:rPr>
          <w:rStyle w:val="Hyperlink"/>
          <w:noProof/>
          <w:color w:val="auto"/>
          <w:u w:val="none"/>
        </w:rPr>
        <w:t>ROFO</w:t>
      </w:r>
      <w:r>
        <w:rPr>
          <w:noProof/>
          <w:webHidden/>
        </w:rPr>
        <w:tab/>
        <w:t>49</w:t>
      </w:r>
    </w:p>
    <w:p w14:paraId="4B2E9A9B" w14:textId="65C48A07"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19.4</w:t>
      </w:r>
      <w:r>
        <w:rPr>
          <w:rFonts w:asciiTheme="minorHAnsi" w:eastAsiaTheme="minorEastAsia" w:hAnsiTheme="minorHAnsi" w:cstheme="minorBidi"/>
          <w:noProof/>
          <w:sz w:val="22"/>
          <w:szCs w:val="22"/>
        </w:rPr>
        <w:tab/>
      </w:r>
      <w:r>
        <w:rPr>
          <w:rStyle w:val="Hyperlink"/>
          <w:noProof/>
          <w:color w:val="auto"/>
          <w:u w:val="none"/>
        </w:rPr>
        <w:t>PFT</w:t>
      </w:r>
      <w:r>
        <w:rPr>
          <w:noProof/>
          <w:webHidden/>
        </w:rPr>
        <w:tab/>
        <w:t>51</w:t>
      </w:r>
    </w:p>
    <w:p w14:paraId="55EE1941" w14:textId="003FF72B"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19.5</w:t>
      </w:r>
      <w:r>
        <w:rPr>
          <w:rFonts w:asciiTheme="minorHAnsi" w:eastAsiaTheme="minorEastAsia" w:hAnsiTheme="minorHAnsi" w:cstheme="minorBidi"/>
          <w:noProof/>
          <w:sz w:val="22"/>
          <w:szCs w:val="22"/>
        </w:rPr>
        <w:tab/>
      </w:r>
      <w:r>
        <w:rPr>
          <w:rStyle w:val="Hyperlink"/>
          <w:noProof/>
          <w:color w:val="auto"/>
          <w:u w:val="none"/>
        </w:rPr>
        <w:t>Option</w:t>
      </w:r>
      <w:r>
        <w:rPr>
          <w:noProof/>
          <w:webHidden/>
        </w:rPr>
        <w:tab/>
        <w:t>52</w:t>
      </w:r>
    </w:p>
    <w:p w14:paraId="2A4BB080" w14:textId="0A03B973"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19.6</w:t>
      </w:r>
      <w:r>
        <w:rPr>
          <w:rFonts w:asciiTheme="minorHAnsi" w:eastAsiaTheme="minorEastAsia" w:hAnsiTheme="minorHAnsi" w:cstheme="minorBidi"/>
          <w:noProof/>
          <w:sz w:val="22"/>
          <w:szCs w:val="22"/>
        </w:rPr>
        <w:tab/>
      </w:r>
      <w:r>
        <w:rPr>
          <w:rStyle w:val="Hyperlink"/>
          <w:noProof/>
          <w:color w:val="auto"/>
          <w:u w:val="none"/>
        </w:rPr>
        <w:t>Memo of Option</w:t>
      </w:r>
      <w:r>
        <w:rPr>
          <w:noProof/>
          <w:webHidden/>
        </w:rPr>
        <w:tab/>
        <w:t>54</w:t>
      </w:r>
    </w:p>
    <w:p w14:paraId="34BEE8D4" w14:textId="353AF093" w:rsidR="007C5A7E" w:rsidRPr="005357FF" w:rsidRDefault="00E46CBE" w:rsidP="0036414B">
      <w:pPr>
        <w:pStyle w:val="TOC1"/>
        <w:rPr>
          <w:rFonts w:asciiTheme="minorHAnsi" w:eastAsiaTheme="minorEastAsia" w:hAnsiTheme="minorHAnsi"/>
          <w:sz w:val="22"/>
        </w:rPr>
      </w:pPr>
      <w:r>
        <w:rPr>
          <w:rStyle w:val="Hyperlink"/>
          <w:noProof/>
          <w:color w:val="auto"/>
          <w:u w:val="none"/>
        </w:rPr>
        <w:t>Article 20 - Miscellaneous</w:t>
      </w:r>
      <w:r>
        <w:rPr>
          <w:noProof/>
          <w:webHidden/>
        </w:rPr>
        <w:tab/>
        <w:t>54</w:t>
      </w:r>
    </w:p>
    <w:p w14:paraId="1AF6EE0D" w14:textId="4AEDDDC7"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w:t>
      </w:r>
      <w:r>
        <w:rPr>
          <w:rFonts w:asciiTheme="minorHAnsi" w:eastAsiaTheme="minorEastAsia" w:hAnsiTheme="minorHAnsi" w:cstheme="minorBidi"/>
          <w:noProof/>
          <w:sz w:val="22"/>
          <w:szCs w:val="22"/>
        </w:rPr>
        <w:tab/>
      </w:r>
      <w:r>
        <w:rPr>
          <w:rStyle w:val="Hyperlink"/>
          <w:noProof/>
          <w:color w:val="auto"/>
          <w:u w:val="none"/>
        </w:rPr>
        <w:t>Notices</w:t>
      </w:r>
      <w:r>
        <w:rPr>
          <w:noProof/>
          <w:webHidden/>
        </w:rPr>
        <w:tab/>
        <w:t>54</w:t>
      </w:r>
    </w:p>
    <w:p w14:paraId="0E1724D2" w14:textId="4A7E5FB3"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20.2</w:t>
      </w:r>
      <w:r>
        <w:rPr>
          <w:rFonts w:asciiTheme="minorHAnsi" w:eastAsiaTheme="minorEastAsia" w:hAnsiTheme="minorHAnsi" w:cstheme="minorBidi"/>
          <w:noProof/>
          <w:sz w:val="22"/>
          <w:szCs w:val="22"/>
        </w:rPr>
        <w:tab/>
      </w:r>
      <w:r>
        <w:rPr>
          <w:rStyle w:val="Hyperlink"/>
          <w:noProof/>
          <w:color w:val="auto"/>
          <w:u w:val="none"/>
        </w:rPr>
        <w:t>Taxes</w:t>
      </w:r>
      <w:r>
        <w:rPr>
          <w:noProof/>
          <w:webHidden/>
        </w:rPr>
        <w:tab/>
        <w:t>55</w:t>
      </w:r>
    </w:p>
    <w:p w14:paraId="28EC3354" w14:textId="578068D5"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20.3</w:t>
      </w:r>
      <w:r>
        <w:rPr>
          <w:rFonts w:asciiTheme="minorHAnsi" w:eastAsiaTheme="minorEastAsia" w:hAnsiTheme="minorHAnsi" w:cstheme="minorBidi"/>
          <w:noProof/>
          <w:sz w:val="22"/>
          <w:szCs w:val="22"/>
        </w:rPr>
        <w:tab/>
      </w:r>
      <w:r>
        <w:rPr>
          <w:rStyle w:val="Hyperlink"/>
          <w:noProof/>
          <w:color w:val="auto"/>
          <w:u w:val="none"/>
        </w:rPr>
        <w:t>Applicable Laws</w:t>
      </w:r>
      <w:r>
        <w:rPr>
          <w:noProof/>
          <w:webHidden/>
        </w:rPr>
        <w:tab/>
        <w:t>55</w:t>
      </w:r>
    </w:p>
    <w:p w14:paraId="0879E959" w14:textId="7FF30396"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20.4</w:t>
      </w:r>
      <w:r>
        <w:rPr>
          <w:rFonts w:asciiTheme="minorHAnsi" w:eastAsiaTheme="minorEastAsia" w:hAnsiTheme="minorHAnsi" w:cstheme="minorBidi"/>
          <w:noProof/>
          <w:sz w:val="22"/>
          <w:szCs w:val="22"/>
        </w:rPr>
        <w:tab/>
      </w:r>
      <w:r>
        <w:rPr>
          <w:rStyle w:val="Hyperlink"/>
          <w:noProof/>
          <w:color w:val="auto"/>
          <w:u w:val="none"/>
        </w:rPr>
        <w:t>Fines and Penalties</w:t>
      </w:r>
      <w:r>
        <w:rPr>
          <w:noProof/>
          <w:webHidden/>
        </w:rPr>
        <w:tab/>
        <w:t>56</w:t>
      </w:r>
    </w:p>
    <w:p w14:paraId="47F9A7EA" w14:textId="6F3CEAC5"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20.5</w:t>
      </w:r>
      <w:r>
        <w:rPr>
          <w:rFonts w:asciiTheme="minorHAnsi" w:eastAsiaTheme="minorEastAsia" w:hAnsiTheme="minorHAnsi" w:cstheme="minorBidi"/>
          <w:noProof/>
          <w:sz w:val="22"/>
          <w:szCs w:val="22"/>
        </w:rPr>
        <w:tab/>
      </w:r>
      <w:r>
        <w:rPr>
          <w:rStyle w:val="Hyperlink"/>
          <w:noProof/>
          <w:color w:val="auto"/>
          <w:u w:val="none"/>
        </w:rPr>
        <w:t>Rate Changes</w:t>
      </w:r>
      <w:r>
        <w:rPr>
          <w:noProof/>
          <w:webHidden/>
        </w:rPr>
        <w:tab/>
        <w:t>56</w:t>
      </w:r>
    </w:p>
    <w:p w14:paraId="4FAB98C5" w14:textId="57B3260F"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20.6</w:t>
      </w:r>
      <w:r>
        <w:rPr>
          <w:rFonts w:asciiTheme="minorHAnsi" w:eastAsiaTheme="minorEastAsia" w:hAnsiTheme="minorHAnsi" w:cstheme="minorBidi"/>
          <w:noProof/>
          <w:sz w:val="22"/>
          <w:szCs w:val="22"/>
        </w:rPr>
        <w:tab/>
      </w:r>
      <w:r>
        <w:rPr>
          <w:rStyle w:val="Hyperlink"/>
          <w:noProof/>
          <w:color w:val="auto"/>
          <w:u w:val="none"/>
        </w:rPr>
        <w:t>Certifications</w:t>
      </w:r>
      <w:r>
        <w:rPr>
          <w:noProof/>
          <w:webHidden/>
        </w:rPr>
        <w:tab/>
        <w:t>56</w:t>
      </w:r>
    </w:p>
    <w:p w14:paraId="05109277" w14:textId="56C63C3D"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20.7</w:t>
      </w:r>
      <w:r>
        <w:rPr>
          <w:rFonts w:asciiTheme="minorHAnsi" w:eastAsiaTheme="minorEastAsia" w:hAnsiTheme="minorHAnsi" w:cstheme="minorBidi"/>
          <w:noProof/>
          <w:sz w:val="22"/>
          <w:szCs w:val="22"/>
        </w:rPr>
        <w:tab/>
      </w:r>
      <w:r>
        <w:rPr>
          <w:rStyle w:val="Hyperlink"/>
          <w:noProof/>
          <w:color w:val="auto"/>
          <w:u w:val="none"/>
        </w:rPr>
        <w:t>Disclaimer of Third-Party Beneficiaries</w:t>
      </w:r>
      <w:r>
        <w:rPr>
          <w:noProof/>
          <w:webHidden/>
        </w:rPr>
        <w:tab/>
        <w:t>56</w:t>
      </w:r>
    </w:p>
    <w:p w14:paraId="67CF8AFD" w14:textId="785BF716"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20.8</w:t>
      </w:r>
      <w:r>
        <w:rPr>
          <w:rFonts w:asciiTheme="minorHAnsi" w:eastAsiaTheme="minorEastAsia" w:hAnsiTheme="minorHAnsi" w:cstheme="minorBidi"/>
          <w:noProof/>
          <w:sz w:val="22"/>
          <w:szCs w:val="22"/>
        </w:rPr>
        <w:tab/>
      </w:r>
      <w:r>
        <w:rPr>
          <w:rStyle w:val="Hyperlink"/>
          <w:noProof/>
          <w:color w:val="auto"/>
          <w:u w:val="none"/>
        </w:rPr>
        <w:t>Relationship of the Parties</w:t>
      </w:r>
      <w:r>
        <w:rPr>
          <w:noProof/>
          <w:webHidden/>
        </w:rPr>
        <w:tab/>
        <w:t>57</w:t>
      </w:r>
    </w:p>
    <w:p w14:paraId="2013E8C0" w14:textId="315A6CD3"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20.9</w:t>
      </w:r>
      <w:r>
        <w:rPr>
          <w:rFonts w:asciiTheme="minorHAnsi" w:eastAsiaTheme="minorEastAsia" w:hAnsiTheme="minorHAnsi" w:cstheme="minorBidi"/>
          <w:noProof/>
          <w:sz w:val="22"/>
          <w:szCs w:val="22"/>
        </w:rPr>
        <w:tab/>
      </w:r>
      <w:r>
        <w:rPr>
          <w:rStyle w:val="Hyperlink"/>
          <w:noProof/>
          <w:color w:val="auto"/>
          <w:u w:val="none"/>
        </w:rPr>
        <w:t>Survival of Obligations</w:t>
      </w:r>
      <w:r>
        <w:rPr>
          <w:noProof/>
          <w:webHidden/>
        </w:rPr>
        <w:tab/>
        <w:t>57</w:t>
      </w:r>
    </w:p>
    <w:p w14:paraId="36D4C340" w14:textId="7C75DB69"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20.10</w:t>
      </w:r>
      <w:r>
        <w:rPr>
          <w:rFonts w:asciiTheme="minorHAnsi" w:eastAsiaTheme="minorEastAsia" w:hAnsiTheme="minorHAnsi" w:cstheme="minorBidi"/>
          <w:noProof/>
          <w:sz w:val="22"/>
          <w:szCs w:val="22"/>
        </w:rPr>
        <w:tab/>
      </w:r>
      <w:r>
        <w:rPr>
          <w:rStyle w:val="Hyperlink"/>
          <w:noProof/>
          <w:color w:val="auto"/>
          <w:u w:val="none"/>
        </w:rPr>
        <w:t>Severability</w:t>
      </w:r>
      <w:r>
        <w:rPr>
          <w:noProof/>
          <w:webHidden/>
        </w:rPr>
        <w:tab/>
        <w:t>57</w:t>
      </w:r>
    </w:p>
    <w:p w14:paraId="1B533C41" w14:textId="10B5F544"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20.11</w:t>
      </w:r>
      <w:r>
        <w:rPr>
          <w:rFonts w:asciiTheme="minorHAnsi" w:eastAsiaTheme="minorEastAsia" w:hAnsiTheme="minorHAnsi" w:cstheme="minorBidi"/>
          <w:noProof/>
          <w:sz w:val="22"/>
          <w:szCs w:val="22"/>
        </w:rPr>
        <w:tab/>
      </w:r>
      <w:r>
        <w:rPr>
          <w:rStyle w:val="Hyperlink"/>
          <w:noProof/>
          <w:color w:val="auto"/>
          <w:u w:val="none"/>
        </w:rPr>
        <w:t>Complete Agreement; Amendments</w:t>
      </w:r>
      <w:r>
        <w:rPr>
          <w:noProof/>
          <w:webHidden/>
        </w:rPr>
        <w:tab/>
        <w:t>57</w:t>
      </w:r>
    </w:p>
    <w:p w14:paraId="633B4075" w14:textId="2AE69B87"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20.12</w:t>
      </w:r>
      <w:r>
        <w:rPr>
          <w:rFonts w:asciiTheme="minorHAnsi" w:eastAsiaTheme="minorEastAsia" w:hAnsiTheme="minorHAnsi" w:cstheme="minorBidi"/>
          <w:noProof/>
          <w:sz w:val="22"/>
          <w:szCs w:val="22"/>
        </w:rPr>
        <w:tab/>
      </w:r>
      <w:r>
        <w:rPr>
          <w:rStyle w:val="Hyperlink"/>
          <w:noProof/>
          <w:color w:val="auto"/>
          <w:u w:val="none"/>
        </w:rPr>
        <w:t>Waiver</w:t>
      </w:r>
      <w:r>
        <w:rPr>
          <w:noProof/>
          <w:webHidden/>
        </w:rPr>
        <w:tab/>
        <w:t>58</w:t>
      </w:r>
    </w:p>
    <w:p w14:paraId="7324C734" w14:textId="05C1B401"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20.13</w:t>
      </w:r>
      <w:r>
        <w:rPr>
          <w:rFonts w:asciiTheme="minorHAnsi" w:eastAsiaTheme="minorEastAsia" w:hAnsiTheme="minorHAnsi" w:cstheme="minorBidi"/>
          <w:noProof/>
          <w:sz w:val="22"/>
          <w:szCs w:val="22"/>
        </w:rPr>
        <w:tab/>
      </w:r>
      <w:r>
        <w:rPr>
          <w:rStyle w:val="Hyperlink"/>
          <w:noProof/>
          <w:color w:val="auto"/>
          <w:u w:val="none"/>
        </w:rPr>
        <w:t>Binding Effect</w:t>
      </w:r>
      <w:r>
        <w:rPr>
          <w:noProof/>
          <w:webHidden/>
        </w:rPr>
        <w:tab/>
        <w:t>58</w:t>
      </w:r>
    </w:p>
    <w:p w14:paraId="64FB1C03" w14:textId="7236C566"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20.14</w:t>
      </w:r>
      <w:r>
        <w:rPr>
          <w:rFonts w:asciiTheme="minorHAnsi" w:eastAsiaTheme="minorEastAsia" w:hAnsiTheme="minorHAnsi" w:cstheme="minorBidi"/>
          <w:noProof/>
          <w:sz w:val="22"/>
          <w:szCs w:val="22"/>
        </w:rPr>
        <w:tab/>
      </w:r>
      <w:r>
        <w:rPr>
          <w:rStyle w:val="Hyperlink"/>
          <w:noProof/>
          <w:color w:val="auto"/>
          <w:u w:val="none"/>
        </w:rPr>
        <w:t>Headings</w:t>
      </w:r>
      <w:r>
        <w:rPr>
          <w:noProof/>
          <w:webHidden/>
        </w:rPr>
        <w:tab/>
        <w:t>58</w:t>
      </w:r>
    </w:p>
    <w:p w14:paraId="106E7E54" w14:textId="57F8F5F8"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20.15</w:t>
      </w:r>
      <w:r>
        <w:rPr>
          <w:rFonts w:asciiTheme="minorHAnsi" w:eastAsiaTheme="minorEastAsia" w:hAnsiTheme="minorHAnsi" w:cstheme="minorBidi"/>
          <w:noProof/>
          <w:sz w:val="22"/>
          <w:szCs w:val="22"/>
        </w:rPr>
        <w:tab/>
      </w:r>
      <w:r>
        <w:rPr>
          <w:rStyle w:val="Hyperlink"/>
          <w:noProof/>
          <w:color w:val="auto"/>
          <w:u w:val="none"/>
        </w:rPr>
        <w:t>Counterparts and Electronic Signatures</w:t>
      </w:r>
      <w:r>
        <w:rPr>
          <w:noProof/>
          <w:webHidden/>
        </w:rPr>
        <w:tab/>
        <w:t>58</w:t>
      </w:r>
    </w:p>
    <w:p w14:paraId="79F10AD1" w14:textId="6D0C3A40"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20.16</w:t>
      </w:r>
      <w:r>
        <w:rPr>
          <w:rFonts w:asciiTheme="minorHAnsi" w:eastAsiaTheme="minorEastAsia" w:hAnsiTheme="minorHAnsi" w:cstheme="minorBidi"/>
          <w:noProof/>
          <w:sz w:val="22"/>
          <w:szCs w:val="22"/>
        </w:rPr>
        <w:tab/>
      </w:r>
      <w:r>
        <w:rPr>
          <w:rStyle w:val="Hyperlink"/>
          <w:noProof/>
          <w:color w:val="auto"/>
          <w:u w:val="none"/>
        </w:rPr>
        <w:t>Press Release</w:t>
      </w:r>
      <w:r>
        <w:rPr>
          <w:noProof/>
          <w:webHidden/>
        </w:rPr>
        <w:tab/>
        <w:t>58</w:t>
      </w:r>
    </w:p>
    <w:p w14:paraId="2F38FDDF" w14:textId="77821539"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20.17</w:t>
      </w:r>
      <w:r>
        <w:rPr>
          <w:rFonts w:asciiTheme="minorHAnsi" w:eastAsiaTheme="minorEastAsia" w:hAnsiTheme="minorHAnsi" w:cstheme="minorBidi"/>
          <w:noProof/>
          <w:sz w:val="22"/>
          <w:szCs w:val="22"/>
        </w:rPr>
        <w:tab/>
      </w:r>
      <w:r>
        <w:rPr>
          <w:rStyle w:val="Hyperlink"/>
          <w:noProof/>
          <w:color w:val="auto"/>
          <w:u w:val="none"/>
        </w:rPr>
        <w:t>Exhibits</w:t>
      </w:r>
      <w:r>
        <w:rPr>
          <w:noProof/>
          <w:webHidden/>
        </w:rPr>
        <w:tab/>
        <w:t>58</w:t>
      </w:r>
    </w:p>
    <w:p w14:paraId="387016EC" w14:textId="2E89E966"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20.18</w:t>
      </w:r>
      <w:r>
        <w:rPr>
          <w:rFonts w:asciiTheme="minorHAnsi" w:eastAsiaTheme="minorEastAsia" w:hAnsiTheme="minorHAnsi" w:cstheme="minorBidi"/>
          <w:noProof/>
          <w:sz w:val="22"/>
          <w:szCs w:val="22"/>
        </w:rPr>
        <w:tab/>
      </w:r>
      <w:r>
        <w:rPr>
          <w:rStyle w:val="Hyperlink"/>
          <w:noProof/>
          <w:color w:val="auto"/>
          <w:u w:val="none"/>
        </w:rPr>
        <w:t>Confidentiality</w:t>
      </w:r>
      <w:r>
        <w:rPr>
          <w:noProof/>
          <w:webHidden/>
        </w:rPr>
        <w:tab/>
        <w:t>58</w:t>
      </w:r>
    </w:p>
    <w:p w14:paraId="3F2C3D71" w14:textId="515D3863" w:rsidR="007C5A7E" w:rsidRDefault="00E46CBE" w:rsidP="009F3C3E">
      <w:pPr>
        <w:pStyle w:val="TOC2"/>
        <w:rPr>
          <w:rFonts w:asciiTheme="minorHAnsi" w:eastAsiaTheme="minorEastAsia" w:hAnsiTheme="minorHAnsi" w:cstheme="minorBidi"/>
          <w:noProof/>
          <w:sz w:val="22"/>
          <w:szCs w:val="22"/>
        </w:rPr>
      </w:pPr>
      <w:r>
        <w:rPr>
          <w:rStyle w:val="Hyperlink"/>
          <w:noProof/>
          <w:color w:val="auto"/>
          <w:u w:val="none"/>
        </w:rPr>
        <w:t>20.19</w:t>
      </w:r>
      <w:r>
        <w:rPr>
          <w:rFonts w:asciiTheme="minorHAnsi" w:eastAsiaTheme="minorEastAsia" w:hAnsiTheme="minorHAnsi" w:cstheme="minorBidi"/>
          <w:noProof/>
          <w:sz w:val="22"/>
          <w:szCs w:val="22"/>
        </w:rPr>
        <w:tab/>
      </w:r>
      <w:r>
        <w:rPr>
          <w:rStyle w:val="Hyperlink"/>
          <w:noProof/>
          <w:color w:val="auto"/>
          <w:u w:val="none"/>
        </w:rPr>
        <w:t>Accounting Treatment</w:t>
      </w:r>
      <w:r>
        <w:rPr>
          <w:noProof/>
          <w:webHidden/>
        </w:rPr>
        <w:tab/>
        <w:t>60</w:t>
      </w:r>
    </w:p>
    <w:p w14:paraId="68266AFC" w14:textId="77777777" w:rsidR="0036414B" w:rsidRDefault="0036414B" w:rsidP="0036414B">
      <w:pPr>
        <w:pStyle w:val="TOC1"/>
        <w:sectPr w:rsidR="0036414B">
          <w:headerReference w:type="even" r:id="rId19"/>
          <w:headerReference w:type="default" r:id="rId20"/>
          <w:footerReference w:type="even" r:id="rId21"/>
          <w:footerReference w:type="default" r:id="rId22"/>
          <w:headerReference w:type="first" r:id="rId23"/>
          <w:footerReference w:type="first" r:id="rId24"/>
          <w:pgSz w:w="12240" w:h="15840" w:code="1"/>
          <w:pgMar w:top="1080" w:right="1440" w:bottom="1440" w:left="1440" w:header="720" w:footer="720" w:gutter="0"/>
          <w:pgNumType w:fmt="lowerRoman" w:start="1"/>
          <w:cols w:space="720"/>
        </w:sectPr>
      </w:pPr>
    </w:p>
    <w:p w14:paraId="66B6FE27" w14:textId="5AA93F7C" w:rsidR="0072450B" w:rsidRDefault="009076E2">
      <w:pPr>
        <w:pStyle w:val="TOC1"/>
        <w:rPr>
          <w:rFonts w:asciiTheme="minorHAnsi" w:eastAsiaTheme="minorEastAsia" w:hAnsiTheme="minorHAnsi" w:cstheme="minorBidi"/>
          <w:b w:val="0"/>
          <w:noProof/>
          <w:sz w:val="22"/>
          <w:szCs w:val="22"/>
        </w:rPr>
      </w:pPr>
      <w:r>
        <w:lastRenderedPageBreak/>
        <w:fldChar w:fldCharType="begin"/>
      </w:r>
      <w:r>
        <w:instrText xml:space="preserve"> TOC \n \h \z \t "Exhibit Title,1" </w:instrText>
      </w:r>
      <w:r>
        <w:fldChar w:fldCharType="separate"/>
      </w:r>
      <w:hyperlink w:anchor="_Toc150954968" w:history="1">
        <w:r w:rsidR="0072450B" w:rsidRPr="00FB691F">
          <w:rPr>
            <w:rStyle w:val="Hyperlink"/>
            <w:noProof/>
          </w:rPr>
          <w:t>EXHIBIT A -  DEFINITIONS</w:t>
        </w:r>
      </w:hyperlink>
    </w:p>
    <w:p w14:paraId="1540FD54" w14:textId="434AA386" w:rsidR="0072450B" w:rsidRDefault="00000000">
      <w:pPr>
        <w:pStyle w:val="TOC1"/>
        <w:rPr>
          <w:rFonts w:asciiTheme="minorHAnsi" w:eastAsiaTheme="minorEastAsia" w:hAnsiTheme="minorHAnsi" w:cstheme="minorBidi"/>
          <w:b w:val="0"/>
          <w:noProof/>
          <w:sz w:val="22"/>
          <w:szCs w:val="22"/>
        </w:rPr>
      </w:pPr>
      <w:hyperlink w:anchor="_Toc150954969" w:history="1">
        <w:r w:rsidR="0072450B" w:rsidRPr="00FB691F">
          <w:rPr>
            <w:rStyle w:val="Hyperlink"/>
            <w:noProof/>
          </w:rPr>
          <w:t>EXHIBIT B - CONSTRUCTION MILESTONES</w:t>
        </w:r>
      </w:hyperlink>
    </w:p>
    <w:p w14:paraId="79434D37" w14:textId="68253C6C" w:rsidR="0072450B" w:rsidRDefault="00000000">
      <w:pPr>
        <w:pStyle w:val="TOC1"/>
        <w:rPr>
          <w:rFonts w:asciiTheme="minorHAnsi" w:eastAsiaTheme="minorEastAsia" w:hAnsiTheme="minorHAnsi" w:cstheme="minorBidi"/>
          <w:b w:val="0"/>
          <w:noProof/>
          <w:sz w:val="22"/>
          <w:szCs w:val="22"/>
        </w:rPr>
      </w:pPr>
      <w:hyperlink w:anchor="_Toc150954970" w:history="1">
        <w:r w:rsidR="0072450B" w:rsidRPr="00FB691F">
          <w:rPr>
            <w:rStyle w:val="Hyperlink"/>
            <w:noProof/>
          </w:rPr>
          <w:t>EXHIBIT C - FACILITY DESCRIPTION AND SITE MAPS</w:t>
        </w:r>
      </w:hyperlink>
    </w:p>
    <w:p w14:paraId="25F61EAF" w14:textId="4FB2AF70" w:rsidR="0072450B" w:rsidRDefault="00000000">
      <w:pPr>
        <w:pStyle w:val="TOC1"/>
        <w:rPr>
          <w:rFonts w:asciiTheme="minorHAnsi" w:eastAsiaTheme="minorEastAsia" w:hAnsiTheme="minorHAnsi" w:cstheme="minorBidi"/>
          <w:b w:val="0"/>
          <w:noProof/>
          <w:sz w:val="22"/>
          <w:szCs w:val="22"/>
        </w:rPr>
      </w:pPr>
      <w:hyperlink w:anchor="_Toc150954971" w:history="1">
        <w:r w:rsidR="0072450B" w:rsidRPr="00FB691F">
          <w:rPr>
            <w:rStyle w:val="Hyperlink"/>
            <w:noProof/>
          </w:rPr>
          <w:t>EXHIBIT D - NOTICES AND CONTACT INFORMATION</w:t>
        </w:r>
      </w:hyperlink>
    </w:p>
    <w:p w14:paraId="6E03E208" w14:textId="6AA8CB20" w:rsidR="0072450B" w:rsidRDefault="00000000">
      <w:pPr>
        <w:pStyle w:val="TOC1"/>
        <w:rPr>
          <w:rFonts w:asciiTheme="minorHAnsi" w:eastAsiaTheme="minorEastAsia" w:hAnsiTheme="minorHAnsi" w:cstheme="minorBidi"/>
          <w:b w:val="0"/>
          <w:noProof/>
          <w:sz w:val="22"/>
          <w:szCs w:val="22"/>
        </w:rPr>
      </w:pPr>
      <w:hyperlink w:anchor="_Toc150954972" w:history="1">
        <w:r w:rsidR="0072450B" w:rsidRPr="00FB691F">
          <w:rPr>
            <w:rStyle w:val="Hyperlink"/>
            <w:noProof/>
          </w:rPr>
          <w:t>EXHIBIT E - INSURANCE COVERAGE</w:t>
        </w:r>
      </w:hyperlink>
    </w:p>
    <w:p w14:paraId="26035188" w14:textId="6540034A" w:rsidR="0072450B" w:rsidRDefault="00000000">
      <w:pPr>
        <w:pStyle w:val="TOC1"/>
        <w:rPr>
          <w:rFonts w:asciiTheme="minorHAnsi" w:eastAsiaTheme="minorEastAsia" w:hAnsiTheme="minorHAnsi" w:cstheme="minorBidi"/>
          <w:b w:val="0"/>
          <w:noProof/>
          <w:sz w:val="22"/>
          <w:szCs w:val="22"/>
        </w:rPr>
      </w:pPr>
      <w:hyperlink w:anchor="_Toc150954973" w:history="1">
        <w:r w:rsidR="0072450B" w:rsidRPr="00FB691F">
          <w:rPr>
            <w:rStyle w:val="Hyperlink"/>
            <w:noProof/>
          </w:rPr>
          <w:t>EXHIBIT F - SELLER’S NEEDED PERMITS</w:t>
        </w:r>
      </w:hyperlink>
    </w:p>
    <w:p w14:paraId="685B955C" w14:textId="0388E11E" w:rsidR="0072450B" w:rsidRDefault="00000000">
      <w:pPr>
        <w:pStyle w:val="TOC1"/>
        <w:rPr>
          <w:rFonts w:asciiTheme="minorHAnsi" w:eastAsiaTheme="minorEastAsia" w:hAnsiTheme="minorHAnsi" w:cstheme="minorBidi"/>
          <w:b w:val="0"/>
          <w:noProof/>
          <w:sz w:val="22"/>
          <w:szCs w:val="22"/>
        </w:rPr>
      </w:pPr>
      <w:hyperlink w:anchor="_Toc150954974" w:history="1">
        <w:r w:rsidR="0072450B" w:rsidRPr="00FB691F">
          <w:rPr>
            <w:rStyle w:val="Hyperlink"/>
            <w:noProof/>
          </w:rPr>
          <w:t>EXHIBIT G - FORM OF LETTER OF CREDIT</w:t>
        </w:r>
      </w:hyperlink>
    </w:p>
    <w:p w14:paraId="1C7DEB27" w14:textId="3247BCF1" w:rsidR="0072450B" w:rsidRDefault="00000000">
      <w:pPr>
        <w:pStyle w:val="TOC1"/>
        <w:rPr>
          <w:rFonts w:asciiTheme="minorHAnsi" w:eastAsiaTheme="minorEastAsia" w:hAnsiTheme="minorHAnsi" w:cstheme="minorBidi"/>
          <w:b w:val="0"/>
          <w:noProof/>
          <w:sz w:val="22"/>
          <w:szCs w:val="22"/>
        </w:rPr>
      </w:pPr>
      <w:hyperlink w:anchor="_Toc150954975" w:history="1">
        <w:r w:rsidR="0072450B" w:rsidRPr="00FB691F">
          <w:rPr>
            <w:rStyle w:val="Hyperlink"/>
            <w:noProof/>
          </w:rPr>
          <w:t>EXHIBIT H - FORM OF GUARANTY</w:t>
        </w:r>
      </w:hyperlink>
    </w:p>
    <w:p w14:paraId="25B2ECE5" w14:textId="75B69919" w:rsidR="0072450B" w:rsidRDefault="00000000">
      <w:pPr>
        <w:pStyle w:val="TOC1"/>
        <w:rPr>
          <w:rFonts w:asciiTheme="minorHAnsi" w:eastAsiaTheme="minorEastAsia" w:hAnsiTheme="minorHAnsi" w:cstheme="minorBidi"/>
          <w:b w:val="0"/>
          <w:noProof/>
          <w:sz w:val="22"/>
          <w:szCs w:val="22"/>
        </w:rPr>
      </w:pPr>
      <w:hyperlink w:anchor="_Toc150954976" w:history="1">
        <w:r w:rsidR="0072450B" w:rsidRPr="00FB691F">
          <w:rPr>
            <w:rStyle w:val="Hyperlink"/>
            <w:noProof/>
          </w:rPr>
          <w:t>EXHIBIT I - AGC PROTOCOLS; DATA COLLECTION; AVAILABILITY REPORTING</w:t>
        </w:r>
      </w:hyperlink>
    </w:p>
    <w:p w14:paraId="5C36C9BB" w14:textId="4F757F48" w:rsidR="0072450B" w:rsidRDefault="00000000">
      <w:pPr>
        <w:pStyle w:val="TOC1"/>
        <w:rPr>
          <w:rFonts w:asciiTheme="minorHAnsi" w:eastAsiaTheme="minorEastAsia" w:hAnsiTheme="minorHAnsi" w:cstheme="minorBidi"/>
          <w:b w:val="0"/>
          <w:noProof/>
          <w:sz w:val="22"/>
          <w:szCs w:val="22"/>
        </w:rPr>
      </w:pPr>
      <w:hyperlink w:anchor="_Toc150954977" w:history="1">
        <w:r w:rsidR="0072450B" w:rsidRPr="00FB691F">
          <w:rPr>
            <w:rStyle w:val="Hyperlink"/>
            <w:noProof/>
          </w:rPr>
          <w:t>EXHIBIT J - RENEWABLE ENERGY PAYMENT RATE; COMMITTED ENERGY</w:t>
        </w:r>
      </w:hyperlink>
    </w:p>
    <w:p w14:paraId="3CE60225" w14:textId="5A211DBC" w:rsidR="0072450B" w:rsidRDefault="00000000">
      <w:pPr>
        <w:pStyle w:val="TOC1"/>
        <w:rPr>
          <w:rFonts w:asciiTheme="minorHAnsi" w:eastAsiaTheme="minorEastAsia" w:hAnsiTheme="minorHAnsi" w:cstheme="minorBidi"/>
          <w:b w:val="0"/>
          <w:noProof/>
          <w:sz w:val="22"/>
          <w:szCs w:val="22"/>
        </w:rPr>
      </w:pPr>
      <w:hyperlink w:anchor="_Toc150954978" w:history="1">
        <w:r w:rsidR="0072450B" w:rsidRPr="00FB691F">
          <w:rPr>
            <w:rStyle w:val="Hyperlink"/>
            <w:noProof/>
          </w:rPr>
          <w:t>EXHIBIT K - LENDER CONSENT PROVISIONS</w:t>
        </w:r>
      </w:hyperlink>
    </w:p>
    <w:p w14:paraId="5EED1EE7" w14:textId="6C98DD1B" w:rsidR="0072450B" w:rsidRDefault="00000000">
      <w:pPr>
        <w:pStyle w:val="TOC1"/>
        <w:rPr>
          <w:rFonts w:asciiTheme="minorHAnsi" w:eastAsiaTheme="minorEastAsia" w:hAnsiTheme="minorHAnsi" w:cstheme="minorBidi"/>
          <w:b w:val="0"/>
          <w:noProof/>
          <w:sz w:val="22"/>
          <w:szCs w:val="22"/>
        </w:rPr>
      </w:pPr>
      <w:hyperlink w:anchor="_Toc150954979" w:history="1">
        <w:r w:rsidR="0072450B" w:rsidRPr="00FB691F">
          <w:rPr>
            <w:rStyle w:val="Hyperlink"/>
            <w:noProof/>
          </w:rPr>
          <w:t>EXHIBIT L-1 - EQUITY PURCHASE PRICE FORMULA</w:t>
        </w:r>
      </w:hyperlink>
    </w:p>
    <w:p w14:paraId="49C77F79" w14:textId="758F1B60" w:rsidR="0072450B" w:rsidRDefault="00000000">
      <w:pPr>
        <w:pStyle w:val="TOC1"/>
        <w:rPr>
          <w:rFonts w:asciiTheme="minorHAnsi" w:eastAsiaTheme="minorEastAsia" w:hAnsiTheme="minorHAnsi" w:cstheme="minorBidi"/>
          <w:b w:val="0"/>
          <w:noProof/>
          <w:sz w:val="22"/>
          <w:szCs w:val="22"/>
        </w:rPr>
      </w:pPr>
      <w:hyperlink w:anchor="_Toc150954980" w:history="1">
        <w:r w:rsidR="0072450B" w:rsidRPr="00FB691F">
          <w:rPr>
            <w:rStyle w:val="Hyperlink"/>
            <w:noProof/>
          </w:rPr>
          <w:t>EXHIBIT L-2 - PSA PROVISIONS</w:t>
        </w:r>
      </w:hyperlink>
    </w:p>
    <w:p w14:paraId="057232F5" w14:textId="1BF1F29B" w:rsidR="0072450B" w:rsidRDefault="00000000">
      <w:pPr>
        <w:pStyle w:val="TOC1"/>
        <w:rPr>
          <w:rFonts w:asciiTheme="minorHAnsi" w:eastAsiaTheme="minorEastAsia" w:hAnsiTheme="minorHAnsi" w:cstheme="minorBidi"/>
          <w:b w:val="0"/>
          <w:noProof/>
          <w:sz w:val="22"/>
          <w:szCs w:val="22"/>
        </w:rPr>
      </w:pPr>
      <w:hyperlink w:anchor="_Toc150954981" w:history="1">
        <w:r w:rsidR="0072450B" w:rsidRPr="00FB691F">
          <w:rPr>
            <w:rStyle w:val="Hyperlink"/>
            <w:noProof/>
          </w:rPr>
          <w:t>EXHIBIT L-3- MIPSA PROVISIONS</w:t>
        </w:r>
      </w:hyperlink>
    </w:p>
    <w:p w14:paraId="091986FF" w14:textId="6EBE80E2" w:rsidR="0072450B" w:rsidRDefault="00000000">
      <w:pPr>
        <w:pStyle w:val="TOC1"/>
        <w:rPr>
          <w:rFonts w:asciiTheme="minorHAnsi" w:eastAsiaTheme="minorEastAsia" w:hAnsiTheme="minorHAnsi" w:cstheme="minorBidi"/>
          <w:b w:val="0"/>
          <w:noProof/>
          <w:sz w:val="22"/>
          <w:szCs w:val="22"/>
        </w:rPr>
      </w:pPr>
      <w:hyperlink w:anchor="_Toc150954982" w:history="1">
        <w:r w:rsidR="0072450B" w:rsidRPr="00FB691F">
          <w:rPr>
            <w:rStyle w:val="Hyperlink"/>
            <w:noProof/>
          </w:rPr>
          <w:t>EXHIBIT M - METHODOLOGY FOR ADJUSTING COMMITTED ENERGY</w:t>
        </w:r>
      </w:hyperlink>
    </w:p>
    <w:p w14:paraId="335C9BA3" w14:textId="04E12DA5" w:rsidR="0072450B" w:rsidRDefault="00000000">
      <w:pPr>
        <w:pStyle w:val="TOC1"/>
        <w:rPr>
          <w:rFonts w:asciiTheme="minorHAnsi" w:eastAsiaTheme="minorEastAsia" w:hAnsiTheme="minorHAnsi" w:cstheme="minorBidi"/>
          <w:b w:val="0"/>
          <w:noProof/>
          <w:sz w:val="22"/>
          <w:szCs w:val="22"/>
        </w:rPr>
      </w:pPr>
      <w:hyperlink w:anchor="_Toc150954983" w:history="1">
        <w:r w:rsidR="0072450B" w:rsidRPr="00FB691F">
          <w:rPr>
            <w:rStyle w:val="Hyperlink"/>
            <w:noProof/>
          </w:rPr>
          <w:t>EXHIBIT N - SAFETY REQUIREMENTS</w:t>
        </w:r>
      </w:hyperlink>
    </w:p>
    <w:p w14:paraId="02CB7C22" w14:textId="2D55D81F" w:rsidR="0072450B" w:rsidRDefault="00000000">
      <w:pPr>
        <w:pStyle w:val="TOC1"/>
        <w:rPr>
          <w:rFonts w:asciiTheme="minorHAnsi" w:eastAsiaTheme="minorEastAsia" w:hAnsiTheme="minorHAnsi" w:cstheme="minorBidi"/>
          <w:b w:val="0"/>
          <w:noProof/>
          <w:sz w:val="22"/>
          <w:szCs w:val="22"/>
        </w:rPr>
      </w:pPr>
      <w:hyperlink w:anchor="_Toc150954984" w:history="1">
        <w:r w:rsidR="0072450B" w:rsidRPr="00FB691F">
          <w:rPr>
            <w:rStyle w:val="Hyperlink"/>
            <w:noProof/>
          </w:rPr>
          <w:t>EXHIBIT O - METER AND COMMUNICATIONS REQUIREMENTS</w:t>
        </w:r>
      </w:hyperlink>
    </w:p>
    <w:p w14:paraId="0F8EF1F6" w14:textId="5365D581" w:rsidR="00B63F33" w:rsidRDefault="009076E2" w:rsidP="0036414B">
      <w:pPr>
        <w:pStyle w:val="TOC1"/>
      </w:pPr>
      <w:r>
        <w:fldChar w:fldCharType="end"/>
      </w:r>
    </w:p>
    <w:bookmarkEnd w:id="3"/>
    <w:p w14:paraId="1A21880D" w14:textId="77777777" w:rsidR="00B63F33" w:rsidRDefault="00B63F33">
      <w:pPr>
        <w:keepNext/>
        <w:keepLines/>
        <w:tabs>
          <w:tab w:val="left" w:pos="1260"/>
          <w:tab w:val="right" w:leader="dot" w:pos="9350"/>
        </w:tabs>
        <w:ind w:left="1267" w:hanging="1267"/>
        <w:rPr>
          <w:rFonts w:cs="Arial"/>
          <w:b/>
          <w:szCs w:val="20"/>
        </w:rPr>
      </w:pPr>
    </w:p>
    <w:p w14:paraId="136D29B3" w14:textId="77777777" w:rsidR="00B63F33" w:rsidRDefault="00B63F33">
      <w:pPr>
        <w:rPr>
          <w:b/>
          <w:smallCaps/>
        </w:rPr>
        <w:sectPr w:rsidR="00B63F33">
          <w:pgSz w:w="12240" w:h="15840" w:code="1"/>
          <w:pgMar w:top="1080" w:right="1440" w:bottom="1440" w:left="1440" w:header="720" w:footer="720" w:gutter="0"/>
          <w:pgNumType w:fmt="lowerRoman" w:start="1"/>
          <w:cols w:space="720"/>
        </w:sectPr>
      </w:pPr>
    </w:p>
    <w:p w14:paraId="5DE57CBC" w14:textId="77777777" w:rsidR="00B63F33" w:rsidRDefault="00B63F33">
      <w:pPr>
        <w:jc w:val="center"/>
        <w:outlineLvl w:val="0"/>
        <w:rPr>
          <w:b/>
          <w:smallCaps/>
        </w:rPr>
      </w:pPr>
      <w:bookmarkStart w:id="4" w:name="_Toc433954108"/>
      <w:r>
        <w:rPr>
          <w:b/>
          <w:smallCaps/>
        </w:rPr>
        <w:lastRenderedPageBreak/>
        <w:t>[</w:t>
      </w:r>
      <w:r>
        <w:rPr>
          <w:b/>
          <w:smallCaps/>
          <w:highlight w:val="yellow"/>
        </w:rPr>
        <w:t>Wind</w:t>
      </w:r>
      <w:r>
        <w:rPr>
          <w:b/>
          <w:smallCaps/>
        </w:rPr>
        <w:t>] [</w:t>
      </w:r>
      <w:r>
        <w:rPr>
          <w:b/>
          <w:smallCaps/>
          <w:highlight w:val="yellow"/>
        </w:rPr>
        <w:t>Solar</w:t>
      </w:r>
      <w:r>
        <w:rPr>
          <w:b/>
          <w:smallCaps/>
        </w:rPr>
        <w:t>] Energy Purchase Agreement</w:t>
      </w:r>
      <w:bookmarkEnd w:id="4"/>
    </w:p>
    <w:p w14:paraId="47EF27CA" w14:textId="77777777" w:rsidR="00B63F33" w:rsidRDefault="00B63F33">
      <w:pPr>
        <w:jc w:val="center"/>
        <w:rPr>
          <w:b/>
          <w:smallCaps/>
        </w:rPr>
      </w:pPr>
      <w:r>
        <w:rPr>
          <w:b/>
          <w:smallCaps/>
        </w:rPr>
        <w:t>between</w:t>
      </w:r>
    </w:p>
    <w:p w14:paraId="745283F3" w14:textId="67B02E35" w:rsidR="00815841" w:rsidRDefault="00815841" w:rsidP="00815841">
      <w:pPr>
        <w:jc w:val="center"/>
        <w:outlineLvl w:val="0"/>
        <w:rPr>
          <w:rFonts w:cs="Arial"/>
          <w:b/>
          <w:smallCaps/>
        </w:rPr>
      </w:pPr>
      <w:bookmarkStart w:id="5" w:name="_Hlk150953785"/>
      <w:bookmarkStart w:id="6" w:name="_Toc433954109"/>
      <w:r w:rsidRPr="00815841">
        <w:rPr>
          <w:rFonts w:cs="Arial"/>
          <w:b/>
          <w:smallCaps/>
        </w:rPr>
        <w:t>Northern States Power</w:t>
      </w:r>
      <w:bookmarkEnd w:id="5"/>
      <w:r w:rsidR="00BA791D">
        <w:rPr>
          <w:rFonts w:cs="Arial"/>
          <w:b/>
          <w:smallCaps/>
        </w:rPr>
        <w:t xml:space="preserve"> </w:t>
      </w:r>
      <w:r w:rsidR="00A26254">
        <w:rPr>
          <w:rFonts w:cs="Arial"/>
          <w:b/>
          <w:smallCaps/>
        </w:rPr>
        <w:t>C</w:t>
      </w:r>
      <w:r w:rsidR="00BA791D">
        <w:rPr>
          <w:rFonts w:cs="Arial"/>
          <w:b/>
          <w:smallCaps/>
        </w:rPr>
        <w:t>ompany</w:t>
      </w:r>
    </w:p>
    <w:p w14:paraId="05882BC3" w14:textId="77777777" w:rsidR="00B63F33" w:rsidRDefault="00B63F33">
      <w:pPr>
        <w:jc w:val="center"/>
        <w:outlineLvl w:val="0"/>
        <w:rPr>
          <w:b/>
          <w:smallCaps/>
        </w:rPr>
      </w:pPr>
      <w:r>
        <w:rPr>
          <w:b/>
          <w:smallCaps/>
        </w:rPr>
        <w:t>and</w:t>
      </w:r>
      <w:bookmarkEnd w:id="6"/>
    </w:p>
    <w:p w14:paraId="540378E2" w14:textId="77777777" w:rsidR="00B63F33" w:rsidRDefault="00B63F33">
      <w:pPr>
        <w:tabs>
          <w:tab w:val="center" w:pos="-810"/>
        </w:tabs>
        <w:jc w:val="center"/>
        <w:outlineLvl w:val="0"/>
      </w:pPr>
      <w:bookmarkStart w:id="7" w:name="_Toc433954110"/>
      <w:r>
        <w:rPr>
          <w:b/>
          <w:smallCaps/>
          <w:highlight w:val="yellow"/>
        </w:rPr>
        <w:t>[_____________________</w:t>
      </w:r>
      <w:r>
        <w:rPr>
          <w:b/>
          <w:smallCaps/>
        </w:rPr>
        <w:t>], LLC</w:t>
      </w:r>
      <w:bookmarkEnd w:id="7"/>
    </w:p>
    <w:p w14:paraId="244153EA" w14:textId="77777777" w:rsidR="00B63F33" w:rsidRDefault="00B63F33"/>
    <w:p w14:paraId="793CFB5D" w14:textId="2D52C011" w:rsidR="00B63F33" w:rsidRDefault="00B63F33">
      <w:pPr>
        <w:spacing w:after="240"/>
        <w:ind w:firstLine="720"/>
        <w:jc w:val="both"/>
      </w:pPr>
      <w:r>
        <w:t>This [</w:t>
      </w:r>
      <w:r>
        <w:rPr>
          <w:highlight w:val="yellow"/>
        </w:rPr>
        <w:t>Wind</w:t>
      </w:r>
      <w:r>
        <w:t>] [</w:t>
      </w:r>
      <w:r>
        <w:rPr>
          <w:highlight w:val="yellow"/>
        </w:rPr>
        <w:t>Solar</w:t>
      </w:r>
      <w:r>
        <w:t>] Energy Purchase Agreement (this “</w:t>
      </w:r>
      <w:r>
        <w:rPr>
          <w:u w:val="single"/>
        </w:rPr>
        <w:t>PPA</w:t>
      </w:r>
      <w:r>
        <w:t>”) is made as of this [</w:t>
      </w:r>
      <w:r>
        <w:rPr>
          <w:highlight w:val="yellow"/>
        </w:rPr>
        <w:t>____</w:t>
      </w:r>
      <w:r>
        <w:t>] day of [</w:t>
      </w:r>
      <w:r>
        <w:rPr>
          <w:highlight w:val="yellow"/>
        </w:rPr>
        <w:t>_______,</w:t>
      </w:r>
      <w:r>
        <w:t xml:space="preserve"> 20</w:t>
      </w:r>
      <w:r>
        <w:rPr>
          <w:highlight w:val="yellow"/>
        </w:rPr>
        <w:t>__</w:t>
      </w:r>
      <w:r>
        <w:t>], (“</w:t>
      </w:r>
      <w:r>
        <w:rPr>
          <w:u w:val="single"/>
        </w:rPr>
        <w:t>Effective Date</w:t>
      </w:r>
      <w:r>
        <w:t xml:space="preserve">”) by and between (i) </w:t>
      </w:r>
      <w:bookmarkStart w:id="8" w:name="_Hlk150953860"/>
      <w:bookmarkStart w:id="9" w:name="_Hlk150953808"/>
      <w:r w:rsidR="00732A95" w:rsidRPr="00732A95">
        <w:rPr>
          <w:bCs/>
        </w:rPr>
        <w:t>Northern States Power Company, a [</w:t>
      </w:r>
      <w:r w:rsidR="00732A95" w:rsidRPr="00A26254">
        <w:rPr>
          <w:bCs/>
          <w:highlight w:val="yellow"/>
        </w:rPr>
        <w:t>Minnesota or Wisconsin</w:t>
      </w:r>
      <w:r w:rsidR="00732A95" w:rsidRPr="00A26254">
        <w:rPr>
          <w:highlight w:val="yellow"/>
        </w:rPr>
        <w:t>]</w:t>
      </w:r>
      <w:bookmarkEnd w:id="8"/>
      <w:r w:rsidR="00732A95">
        <w:t xml:space="preserve"> </w:t>
      </w:r>
      <w:r>
        <w:t>corporation</w:t>
      </w:r>
      <w:bookmarkEnd w:id="9"/>
      <w:r>
        <w:t xml:space="preserve"> with a principal place of business at 1800 Larimer Street, Denver, CO 80202 (“</w:t>
      </w:r>
      <w:r>
        <w:rPr>
          <w:u w:val="single"/>
        </w:rPr>
        <w:t>Company</w:t>
      </w:r>
      <w:r>
        <w:t>”), and (</w:t>
      </w:r>
      <w:r w:rsidRPr="00732A95">
        <w:t>ii) [</w:t>
      </w:r>
      <w:r w:rsidRPr="00732A95">
        <w:rPr>
          <w:highlight w:val="yellow"/>
        </w:rPr>
        <w:t>_______________________,</w:t>
      </w:r>
      <w:r w:rsidRPr="00732A95">
        <w:t>] LLC</w:t>
      </w:r>
      <w:r>
        <w:rPr>
          <w:b/>
        </w:rPr>
        <w:t>,</w:t>
      </w:r>
      <w:r>
        <w:t xml:space="preserve"> a [</w:t>
      </w:r>
      <w:r>
        <w:rPr>
          <w:highlight w:val="yellow"/>
        </w:rPr>
        <w:t>_________</w:t>
      </w:r>
      <w:r>
        <w:t>] [</w:t>
      </w:r>
      <w:r>
        <w:rPr>
          <w:highlight w:val="yellow"/>
        </w:rPr>
        <w:t>limited liability company</w:t>
      </w:r>
      <w:r>
        <w:t>] with a principal place of business at [</w:t>
      </w:r>
      <w:r>
        <w:rPr>
          <w:highlight w:val="yellow"/>
        </w:rPr>
        <w:t>_______________</w:t>
      </w:r>
      <w:r>
        <w:t>] (“</w:t>
      </w:r>
      <w:r>
        <w:rPr>
          <w:u w:val="single"/>
        </w:rPr>
        <w:t>Seller</w:t>
      </w:r>
      <w:r>
        <w:t>”).  Company and Seller are hereinafter referred to individually as a “</w:t>
      </w:r>
      <w:r>
        <w:rPr>
          <w:u w:val="single"/>
        </w:rPr>
        <w:t>Party</w:t>
      </w:r>
      <w:r>
        <w:t>” and collectively as the “</w:t>
      </w:r>
      <w:r>
        <w:rPr>
          <w:u w:val="single"/>
        </w:rPr>
        <w:t>Parties</w:t>
      </w:r>
      <w:r>
        <w:t>.”</w:t>
      </w:r>
    </w:p>
    <w:p w14:paraId="33842A4D" w14:textId="25FD7474" w:rsidR="00B63F33" w:rsidRDefault="004C2548">
      <w:pPr>
        <w:spacing w:after="240"/>
        <w:ind w:firstLine="720"/>
        <w:jc w:val="both"/>
      </w:pPr>
      <w:r>
        <w:t>WHEREAS</w:t>
      </w:r>
      <w:r w:rsidR="00B63F33">
        <w:t xml:space="preserve"> Seller desires to develop, design, construct, interconnect, own, </w:t>
      </w:r>
      <w:proofErr w:type="gramStart"/>
      <w:r w:rsidR="00B63F33">
        <w:t>operate</w:t>
      </w:r>
      <w:proofErr w:type="gramEnd"/>
      <w:r w:rsidR="00B63F33">
        <w:t xml:space="preserve"> and maintain the Facility as defined herein; and</w:t>
      </w:r>
    </w:p>
    <w:p w14:paraId="7057AE33" w14:textId="49929785" w:rsidR="00B63F33" w:rsidRDefault="004C2548">
      <w:pPr>
        <w:spacing w:after="240"/>
        <w:ind w:firstLine="720"/>
        <w:jc w:val="both"/>
      </w:pPr>
      <w:r>
        <w:t>WHEREAS</w:t>
      </w:r>
      <w:r w:rsidR="00B63F33">
        <w:t xml:space="preserve"> Seller desires to sell and deliver, and Company desires to accept and receive certain products and services, inc</w:t>
      </w:r>
      <w:r w:rsidR="00601E68">
        <w:t>l</w:t>
      </w:r>
      <w:r w:rsidR="00B63F33">
        <w:t>uding but not limited to the Renewable Energy (including all Environmental Attributes) and Ancillary Services attributable to and delivered from the Facility to the Point of Delivery at the prices and on the terms and conditions set forth in this PPA.</w:t>
      </w:r>
    </w:p>
    <w:p w14:paraId="6EC2DFBF" w14:textId="77777777" w:rsidR="00B63F33" w:rsidRDefault="00B63F33">
      <w:pPr>
        <w:spacing w:after="240"/>
        <w:ind w:firstLine="720"/>
        <w:jc w:val="both"/>
      </w:pPr>
      <w:r>
        <w:t>NOW THEREFORE, in consideration of the mutual covenants herein contained, the sufficiency and adequacy of which are hereby acknowledged, the Parties agree to the following:</w:t>
      </w:r>
    </w:p>
    <w:p w14:paraId="450EA117" w14:textId="4AA9377F" w:rsidR="00B63F33" w:rsidRDefault="00B63F33" w:rsidP="002B7809">
      <w:pPr>
        <w:pStyle w:val="ArticleL1"/>
      </w:pPr>
      <w:bookmarkStart w:id="10" w:name="_Toc433953953"/>
      <w:bookmarkStart w:id="11" w:name="_Toc433954111"/>
      <w:bookmarkStart w:id="12" w:name="_Toc288027234"/>
      <w:bookmarkStart w:id="13" w:name="_Toc147494828"/>
      <w:r>
        <w:t>Rules of Interpretation</w:t>
      </w:r>
      <w:bookmarkEnd w:id="10"/>
      <w:bookmarkEnd w:id="11"/>
      <w:bookmarkEnd w:id="12"/>
      <w:bookmarkEnd w:id="13"/>
    </w:p>
    <w:p w14:paraId="5D46CF30" w14:textId="58C2D076" w:rsidR="00B63F33" w:rsidRDefault="00B63F33" w:rsidP="002B7809">
      <w:pPr>
        <w:pStyle w:val="ArticleL2"/>
      </w:pPr>
      <w:bookmarkStart w:id="14" w:name="_Toc147494829"/>
      <w:bookmarkStart w:id="15" w:name="_Toc288027235"/>
      <w:bookmarkStart w:id="16" w:name="_Toc433953954"/>
      <w:bookmarkStart w:id="17" w:name="_Toc433954112"/>
      <w:r w:rsidRPr="004F6DE4">
        <w:rPr>
          <w:rStyle w:val="ArticleL2UnderlineChar"/>
        </w:rPr>
        <w:t>Interpretation</w:t>
      </w:r>
      <w:bookmarkEnd w:id="14"/>
      <w:r>
        <w:t>.</w:t>
      </w:r>
      <w:bookmarkEnd w:id="15"/>
      <w:bookmarkEnd w:id="16"/>
      <w:bookmarkEnd w:id="17"/>
    </w:p>
    <w:p w14:paraId="00874A7E" w14:textId="57C7A7D5" w:rsidR="00B63F33" w:rsidRDefault="00B63F33" w:rsidP="002B7809">
      <w:pPr>
        <w:pStyle w:val="ArticleL3"/>
      </w:pPr>
      <w:r>
        <w:t xml:space="preserve">Capitalized terms listed in this PPA shall have the meanings set forth in </w:t>
      </w:r>
      <w:bookmarkStart w:id="18" w:name="_Hlk150163677"/>
      <w:r w:rsidR="009076E2" w:rsidRPr="009076E2">
        <w:rPr>
          <w:u w:val="single"/>
        </w:rPr>
        <w:t xml:space="preserve">Exhibit A </w:t>
      </w:r>
      <w:bookmarkEnd w:id="18"/>
      <w:r w:rsidR="00A26254" w:rsidRPr="009076E2">
        <w:rPr>
          <w:u w:val="single"/>
        </w:rPr>
        <w:t>- Definitions</w:t>
      </w:r>
      <w:r w:rsidR="005F48B5">
        <w:rPr>
          <w:u w:val="single"/>
        </w:rPr>
        <w:t>,</w:t>
      </w:r>
      <w:r>
        <w:t xml:space="preserve"> or as otherwise defined in this PPA, whether in the singular or the plural or in the present or past tense.  Words not otherwise defined in this PPA shall (i) have meanings as commonly used in the English language, (ii) be given their generally accepted meaning consistent with Good Utility Practices, and (iii) be given their well-known and generally accepted technical or trade meanings.</w:t>
      </w:r>
    </w:p>
    <w:p w14:paraId="61418662" w14:textId="77777777" w:rsidR="00B63F33" w:rsidRDefault="00B63F33" w:rsidP="002B7809">
      <w:pPr>
        <w:pStyle w:val="ArticleL3"/>
      </w:pPr>
      <w:r>
        <w:t>The following rules of interpretation shall apply:  (1) The masculine shall include the feminine and neuter; (2) references to “</w:t>
      </w:r>
      <w:r>
        <w:rPr>
          <w:u w:val="single"/>
        </w:rPr>
        <w:t>Articles</w:t>
      </w:r>
      <w:r>
        <w:t>,” “</w:t>
      </w:r>
      <w:r>
        <w:rPr>
          <w:u w:val="single"/>
        </w:rPr>
        <w:t>Sections</w:t>
      </w:r>
      <w:r>
        <w:t>” or “</w:t>
      </w:r>
      <w:r>
        <w:rPr>
          <w:u w:val="single"/>
        </w:rPr>
        <w:t>Exhibits</w:t>
      </w:r>
      <w:r>
        <w:t>” shall be to articles, sections, or exhibits of this PPA except as the context may otherwise require; (3) all Exhibits are incorporated into this PPA (</w:t>
      </w:r>
      <w:r>
        <w:rPr>
          <w:i/>
        </w:rPr>
        <w:t xml:space="preserve">provided, however, </w:t>
      </w:r>
      <w:r>
        <w:t xml:space="preserve">that in the event of a conflict with the terms of this PPA, the PPA shall control); and (4) use of the </w:t>
      </w:r>
      <w:r>
        <w:lastRenderedPageBreak/>
        <w:t>words “include” or “including” or similar words shall be interpreted as “include without limitation” or “including, without limitation.”</w:t>
      </w:r>
    </w:p>
    <w:p w14:paraId="29CD49CD" w14:textId="53B518D5" w:rsidR="00B63F33" w:rsidRDefault="00B63F33" w:rsidP="002B7809">
      <w:pPr>
        <w:pStyle w:val="ArticleL3"/>
      </w:pPr>
      <w:r>
        <w:t>This PPA was negotiated and prepared by both Parties with the advice and participation of counsel.  None of the provisions hereof shall be construed against one Party on the ground that such Party is the author of this PPA or any part hereof.</w:t>
      </w:r>
    </w:p>
    <w:p w14:paraId="43950780" w14:textId="5E4195B5" w:rsidR="00B63F33" w:rsidRDefault="00B63F33" w:rsidP="002B7809">
      <w:pPr>
        <w:pStyle w:val="ArticleL3"/>
      </w:pPr>
      <w:bookmarkStart w:id="19" w:name="_Ref149809171"/>
      <w:r>
        <w:t>[</w:t>
      </w:r>
      <w:r>
        <w:rPr>
          <w:i/>
          <w:color w:val="FF0000"/>
          <w:highlight w:val="yellow"/>
        </w:rPr>
        <w:t>Solar</w:t>
      </w:r>
      <w:r>
        <w:t>] Unless specifically designated as DC, each reference to “MW” or “kW” herein shall be AC MW or AC kW, as applicable. “</w:t>
      </w:r>
      <w:r>
        <w:rPr>
          <w:u w:val="single"/>
        </w:rPr>
        <w:t>AC</w:t>
      </w:r>
      <w:r>
        <w:t>” means alternating electric current; “</w:t>
      </w:r>
      <w:r>
        <w:rPr>
          <w:u w:val="single"/>
        </w:rPr>
        <w:t>DC</w:t>
      </w:r>
      <w:r>
        <w:t>” means direct electric current.</w:t>
      </w:r>
      <w:bookmarkEnd w:id="19"/>
    </w:p>
    <w:p w14:paraId="474DA506" w14:textId="765AC25E" w:rsidR="00B63F33" w:rsidRDefault="00B63F33" w:rsidP="002B7809">
      <w:pPr>
        <w:pStyle w:val="ArticleL2"/>
      </w:pPr>
      <w:bookmarkStart w:id="20" w:name="_Toc288027237"/>
      <w:bookmarkStart w:id="21" w:name="_Toc147494830"/>
      <w:bookmarkStart w:id="22" w:name="_Toc433953955"/>
      <w:bookmarkStart w:id="23" w:name="_Toc433954113"/>
      <w:r w:rsidRPr="004F6DE4">
        <w:rPr>
          <w:rStyle w:val="ArticleL2UnderlineChar"/>
        </w:rPr>
        <w:t>Interpretation with Other Agreements</w:t>
      </w:r>
      <w:bookmarkEnd w:id="20"/>
      <w:bookmarkEnd w:id="21"/>
      <w:r>
        <w:t>.</w:t>
      </w:r>
      <w:bookmarkEnd w:id="22"/>
      <w:bookmarkEnd w:id="23"/>
    </w:p>
    <w:p w14:paraId="08C0A3C3" w14:textId="77F42657" w:rsidR="00B63F33" w:rsidRDefault="00B63F33" w:rsidP="002B7809">
      <w:pPr>
        <w:pStyle w:val="ArticleL3"/>
      </w:pPr>
      <w:r>
        <w:t>This PPA does not provide Seller authorization to interconnect the Facility or inject power into the Transmission Authority’s System.  Seller shall contract for interconnection services in accordance with the applicable Transmission Tariff.  Seller acknowledges that the Interconnection Agreement is/will be a separate contract and that (i) this PPA is not binding on the Transmission Authority, (ii) this PPA does not create any rights between Seller and the Transmission Authority, and (iii) the Interconnection Agreement does not modify the Parties’ rights and obligations under this PPA.  The applicable Transmission Authority shall be deemed to be a separate and unaffiliated contracting party for purposes of this PPA, regardless of whether such Transmission Authority is Company or an Affiliate of Company.</w:t>
      </w:r>
    </w:p>
    <w:p w14:paraId="61571561" w14:textId="15193665" w:rsidR="00B63F33" w:rsidRDefault="00B63F33" w:rsidP="002B7809">
      <w:pPr>
        <w:pStyle w:val="ArticleL3"/>
      </w:pPr>
      <w:bookmarkStart w:id="24" w:name="_Ref149810510"/>
      <w:r>
        <w:t xml:space="preserve">This PPA does not </w:t>
      </w:r>
      <w:proofErr w:type="gramStart"/>
      <w:r>
        <w:t>provide for</w:t>
      </w:r>
      <w:proofErr w:type="gramEnd"/>
      <w:r>
        <w:t xml:space="preserve"> the supply of retail power for purposes of operating the Facility, including start-up, shutdown, [</w:t>
      </w:r>
      <w:r>
        <w:rPr>
          <w:highlight w:val="yellow"/>
        </w:rPr>
        <w:t>turbine</w:t>
      </w:r>
      <w:r>
        <w:t>] [</w:t>
      </w:r>
      <w:r>
        <w:rPr>
          <w:highlight w:val="yellow"/>
        </w:rPr>
        <w:t>panel</w:t>
      </w:r>
      <w:r>
        <w:t>] adjustment, lighting, HVAC or any other purpose (“</w:t>
      </w:r>
      <w:r>
        <w:rPr>
          <w:u w:val="single"/>
        </w:rPr>
        <w:t>House Power</w:t>
      </w:r>
      <w:r>
        <w:t>”).  Seller shall contract with the utility providing House Power to the Site (the “</w:t>
      </w:r>
      <w:r>
        <w:rPr>
          <w:u w:val="single"/>
        </w:rPr>
        <w:t>Local Provider</w:t>
      </w:r>
      <w:r>
        <w:t xml:space="preserve">”) for the supply of House Power.  Seller acknowledges that (i) Seller must obtain House Power independently, (ii) this PPA is not binding on the Local Provider, (iii) this PPA does not create any rights between Seller and the Local Provider, and (iv) Seller’s contract for House Power does not affect the Parties’ rights and obligations under this PPA.  For purposes of this PPA, the Local Provider shall be deemed to be a separate and unaffiliated contracting party regardless  of whether the Local Provider is Company or an Affiliate of Company; </w:t>
      </w:r>
      <w:r>
        <w:rPr>
          <w:i/>
        </w:rPr>
        <w:t>provided</w:t>
      </w:r>
      <w:r>
        <w:t xml:space="preserve"> that, if (and only if) the Local Provider is Company or an Affiliate of Company, Seller may obtain House Power by self-generating and netting such self-generation from the Renewable Energy provided to Company unless prohibited by Applicable Law.</w:t>
      </w:r>
      <w:bookmarkEnd w:id="24"/>
    </w:p>
    <w:p w14:paraId="679824CE" w14:textId="65341247" w:rsidR="00B63F33" w:rsidRDefault="00B63F33" w:rsidP="004F6DE4">
      <w:pPr>
        <w:pStyle w:val="ArticleL2"/>
      </w:pPr>
      <w:bookmarkStart w:id="25" w:name="_Toc147494831"/>
      <w:bookmarkStart w:id="26" w:name="_Toc288027238"/>
      <w:bookmarkStart w:id="27" w:name="_Toc433953956"/>
      <w:bookmarkStart w:id="28" w:name="_Toc433954114"/>
      <w:r w:rsidRPr="004F6DE4">
        <w:rPr>
          <w:rStyle w:val="ArticleL2UnderlineChar"/>
        </w:rPr>
        <w:t>Good Faith and Fair Dealing</w:t>
      </w:r>
      <w:bookmarkEnd w:id="25"/>
      <w:r>
        <w:t xml:space="preserve">. </w:t>
      </w:r>
      <w:r w:rsidRPr="004F6DE4">
        <w:t>The Parties shall act reasonably and in accordance with the principles of good faith and fair dealing in the performance of this PPA.  Unless expressly provided otherwise in this PPA, (a) when this PPA specifically references the consent, approval, or similar action by a Party, , such consent or approval shall not be unreasonably withheld, conditioned or delayed, and (b) wherever this PPA specifically gives a Party a right to determine, require, specify or take similar action wit</w:t>
      </w:r>
      <w:r>
        <w:t xml:space="preserve">h </w:t>
      </w:r>
      <w:r>
        <w:lastRenderedPageBreak/>
        <w:t>respect to a matter, such determination, requirement, specification or similar action shall be Commercially Reasonable.</w:t>
      </w:r>
      <w:bookmarkEnd w:id="26"/>
      <w:bookmarkEnd w:id="27"/>
      <w:bookmarkEnd w:id="28"/>
    </w:p>
    <w:p w14:paraId="52C8EE77" w14:textId="1710F205" w:rsidR="00B63F33" w:rsidRDefault="00B63F33" w:rsidP="002B7809">
      <w:pPr>
        <w:pStyle w:val="ArticleL1"/>
        <w:rPr>
          <w:smallCaps/>
          <w:u w:val="single"/>
        </w:rPr>
      </w:pPr>
      <w:bookmarkStart w:id="29" w:name="_Toc288027240"/>
      <w:bookmarkStart w:id="30" w:name="_Toc433953957"/>
      <w:bookmarkStart w:id="31" w:name="_Toc433954115"/>
      <w:bookmarkStart w:id="32" w:name="_Toc147494832"/>
      <w:bookmarkStart w:id="33" w:name="_Ref149811694"/>
      <w:bookmarkStart w:id="34" w:name="_Ref149811783"/>
      <w:r>
        <w:t>Term and Termination</w:t>
      </w:r>
      <w:bookmarkEnd w:id="29"/>
      <w:bookmarkEnd w:id="30"/>
      <w:bookmarkEnd w:id="31"/>
      <w:bookmarkEnd w:id="32"/>
      <w:bookmarkEnd w:id="33"/>
      <w:bookmarkEnd w:id="34"/>
    </w:p>
    <w:p w14:paraId="01714033" w14:textId="2881826E" w:rsidR="00B63F33" w:rsidRPr="004C2548" w:rsidRDefault="00B63F33">
      <w:pPr>
        <w:pStyle w:val="BodyTextFirstIndent"/>
        <w:spacing w:after="360"/>
        <w:ind w:right="0"/>
      </w:pPr>
      <w:r>
        <w:t xml:space="preserve">This PPA shall become effective as of the date of its execution, and shall remain in full force and effect until 11:59 pm on </w:t>
      </w:r>
      <w:r>
        <w:rPr>
          <w:lang w:val="en-US"/>
        </w:rPr>
        <w:t xml:space="preserve"> </w:t>
      </w:r>
      <w:r>
        <w:t>the last Day of the calendar month during which occurs the [</w:t>
      </w:r>
      <w:r>
        <w:rPr>
          <w:highlight w:val="yellow"/>
        </w:rPr>
        <w:t>__</w:t>
      </w:r>
      <w:proofErr w:type="spellStart"/>
      <w:r>
        <w:rPr>
          <w:highlight w:val="yellow"/>
          <w:vertAlign w:val="superscript"/>
        </w:rPr>
        <w:t>th</w:t>
      </w:r>
      <w:proofErr w:type="spellEnd"/>
      <w:r>
        <w:t>] anniversary of the Commercial Operation Date</w:t>
      </w:r>
      <w:r>
        <w:rPr>
          <w:lang w:val="en-US"/>
        </w:rPr>
        <w:t xml:space="preserve"> </w:t>
      </w:r>
      <w:r>
        <w:t>(the “</w:t>
      </w:r>
      <w:r>
        <w:rPr>
          <w:u w:val="single"/>
        </w:rPr>
        <w:t>Scheduled Termination Date</w:t>
      </w:r>
      <w:r>
        <w:t xml:space="preserve">”), subject to early termination as provided in this PPA.  Applicable provisions of this PPA shall continue in effect after termination to the extent necessary to (i) provide for final billings, payments and adjustments, (ii) enforce or complete the duties, obligations or responsibilities of the Parties (including </w:t>
      </w:r>
      <w:r w:rsidRPr="00A26254">
        <w:t xml:space="preserve">under </w:t>
      </w:r>
      <w:r w:rsidRPr="00A26254">
        <w:rPr>
          <w:u w:val="single"/>
        </w:rPr>
        <w:t xml:space="preserve">Section </w:t>
      </w:r>
      <w:r w:rsidR="0058598E" w:rsidRPr="00A26254">
        <w:rPr>
          <w:u w:val="single"/>
        </w:rPr>
        <w:fldChar w:fldCharType="begin"/>
      </w:r>
      <w:r w:rsidR="0058598E" w:rsidRPr="00A26254">
        <w:rPr>
          <w:u w:val="single"/>
        </w:rPr>
        <w:instrText xml:space="preserve"> REF _Ref149742772 \w \h </w:instrText>
      </w:r>
      <w:r w:rsidR="00A26254">
        <w:rPr>
          <w:u w:val="single"/>
        </w:rPr>
        <w:instrText xml:space="preserve"> \* MERGEFORMAT </w:instrText>
      </w:r>
      <w:r w:rsidR="0058598E" w:rsidRPr="00A26254">
        <w:rPr>
          <w:u w:val="single"/>
        </w:rPr>
      </w:r>
      <w:r w:rsidR="0058598E" w:rsidRPr="00A26254">
        <w:rPr>
          <w:u w:val="single"/>
        </w:rPr>
        <w:fldChar w:fldCharType="separate"/>
      </w:r>
      <w:r w:rsidR="0058598E" w:rsidRPr="00A26254">
        <w:rPr>
          <w:u w:val="single"/>
        </w:rPr>
        <w:t>12.1(B)</w:t>
      </w:r>
      <w:r w:rsidR="0058598E" w:rsidRPr="00A26254">
        <w:rPr>
          <w:u w:val="single"/>
        </w:rPr>
        <w:fldChar w:fldCharType="end"/>
      </w:r>
      <w:r w:rsidRPr="00A26254">
        <w:rPr>
          <w:u w:val="single"/>
        </w:rPr>
        <w:t>-</w:t>
      </w:r>
      <w:r w:rsidR="0058598E" w:rsidRPr="00A26254">
        <w:rPr>
          <w:u w:val="single"/>
        </w:rPr>
        <w:fldChar w:fldCharType="begin"/>
      </w:r>
      <w:r w:rsidR="0058598E" w:rsidRPr="00A26254">
        <w:rPr>
          <w:lang w:val="en-US"/>
        </w:rPr>
        <w:instrText xml:space="preserve"> REF _Ref149742791 \n \h </w:instrText>
      </w:r>
      <w:r w:rsidR="00A26254">
        <w:rPr>
          <w:u w:val="single"/>
        </w:rPr>
        <w:instrText xml:space="preserve"> \* MERGEFORMAT </w:instrText>
      </w:r>
      <w:r w:rsidR="0058598E" w:rsidRPr="00A26254">
        <w:rPr>
          <w:u w:val="single"/>
        </w:rPr>
      </w:r>
      <w:r w:rsidR="0058598E" w:rsidRPr="00A26254">
        <w:rPr>
          <w:u w:val="single"/>
        </w:rPr>
        <w:fldChar w:fldCharType="separate"/>
      </w:r>
      <w:r w:rsidR="0058598E" w:rsidRPr="00A26254">
        <w:rPr>
          <w:lang w:val="en-US"/>
        </w:rPr>
        <w:t>(E)</w:t>
      </w:r>
      <w:r w:rsidR="0058598E" w:rsidRPr="00A26254">
        <w:rPr>
          <w:u w:val="single"/>
        </w:rPr>
        <w:fldChar w:fldCharType="end"/>
      </w:r>
      <w:r w:rsidRPr="00A26254">
        <w:t xml:space="preserve">, </w:t>
      </w:r>
      <w:r w:rsidRPr="00A26254">
        <w:rPr>
          <w:u w:val="single"/>
        </w:rPr>
        <w:t xml:space="preserve">Section </w:t>
      </w:r>
      <w:r w:rsidR="0058598E" w:rsidRPr="00A26254">
        <w:rPr>
          <w:u w:val="single"/>
        </w:rPr>
        <w:fldChar w:fldCharType="begin"/>
      </w:r>
      <w:r w:rsidR="0058598E" w:rsidRPr="00A26254">
        <w:rPr>
          <w:u w:val="single"/>
        </w:rPr>
        <w:instrText xml:space="preserve"> REF _Ref149742803 \w \h </w:instrText>
      </w:r>
      <w:r w:rsidR="00A26254">
        <w:rPr>
          <w:u w:val="single"/>
        </w:rPr>
        <w:instrText xml:space="preserve"> \* MERGEFORMAT </w:instrText>
      </w:r>
      <w:r w:rsidR="0058598E" w:rsidRPr="00A26254">
        <w:rPr>
          <w:u w:val="single"/>
        </w:rPr>
      </w:r>
      <w:r w:rsidR="0058598E" w:rsidRPr="00A26254">
        <w:rPr>
          <w:u w:val="single"/>
        </w:rPr>
        <w:fldChar w:fldCharType="separate"/>
      </w:r>
      <w:r w:rsidR="0058598E" w:rsidRPr="00A26254">
        <w:rPr>
          <w:u w:val="single"/>
        </w:rPr>
        <w:t>12.2(C)</w:t>
      </w:r>
      <w:r w:rsidR="0058598E" w:rsidRPr="00A26254">
        <w:rPr>
          <w:u w:val="single"/>
        </w:rPr>
        <w:fldChar w:fldCharType="end"/>
      </w:r>
      <w:r w:rsidRPr="00A26254">
        <w:t xml:space="preserve">, </w:t>
      </w:r>
      <w:r w:rsidRPr="00A26254">
        <w:rPr>
          <w:u w:val="single"/>
        </w:rPr>
        <w:t xml:space="preserve">Section </w:t>
      </w:r>
      <w:r w:rsidR="0058598E" w:rsidRPr="00A26254">
        <w:rPr>
          <w:u w:val="single"/>
        </w:rPr>
        <w:fldChar w:fldCharType="begin"/>
      </w:r>
      <w:r w:rsidR="0058598E" w:rsidRPr="00A26254">
        <w:rPr>
          <w:u w:val="single"/>
        </w:rPr>
        <w:instrText xml:space="preserve"> REF _Ref149742811 \w \h </w:instrText>
      </w:r>
      <w:r w:rsidR="00A26254">
        <w:rPr>
          <w:u w:val="single"/>
        </w:rPr>
        <w:instrText xml:space="preserve"> \* MERGEFORMAT </w:instrText>
      </w:r>
      <w:r w:rsidR="0058598E" w:rsidRPr="00A26254">
        <w:rPr>
          <w:u w:val="single"/>
        </w:rPr>
      </w:r>
      <w:r w:rsidR="0058598E" w:rsidRPr="00A26254">
        <w:rPr>
          <w:u w:val="single"/>
        </w:rPr>
        <w:fldChar w:fldCharType="separate"/>
      </w:r>
      <w:r w:rsidR="0058598E" w:rsidRPr="00A26254">
        <w:rPr>
          <w:u w:val="single"/>
        </w:rPr>
        <w:t>12.3(B)</w:t>
      </w:r>
      <w:r w:rsidR="0058598E" w:rsidRPr="00A26254">
        <w:rPr>
          <w:u w:val="single"/>
        </w:rPr>
        <w:fldChar w:fldCharType="end"/>
      </w:r>
      <w:r w:rsidRPr="00A26254">
        <w:rPr>
          <w:u w:val="single"/>
        </w:rPr>
        <w:t>-</w:t>
      </w:r>
      <w:r w:rsidR="0058598E" w:rsidRPr="00A26254">
        <w:rPr>
          <w:u w:val="single"/>
        </w:rPr>
        <w:fldChar w:fldCharType="begin"/>
      </w:r>
      <w:r w:rsidR="0058598E" w:rsidRPr="00A26254">
        <w:rPr>
          <w:u w:val="single"/>
        </w:rPr>
        <w:instrText xml:space="preserve"> REF _Ref149742825 \n \h </w:instrText>
      </w:r>
      <w:r w:rsidR="00A26254">
        <w:rPr>
          <w:u w:val="single"/>
        </w:rPr>
        <w:instrText xml:space="preserve"> \* MERGEFORMAT </w:instrText>
      </w:r>
      <w:r w:rsidR="0058598E" w:rsidRPr="00A26254">
        <w:rPr>
          <w:u w:val="single"/>
        </w:rPr>
      </w:r>
      <w:r w:rsidR="0058598E" w:rsidRPr="00A26254">
        <w:rPr>
          <w:u w:val="single"/>
        </w:rPr>
        <w:fldChar w:fldCharType="separate"/>
      </w:r>
      <w:r w:rsidR="0058598E" w:rsidRPr="00A26254">
        <w:rPr>
          <w:u w:val="single"/>
        </w:rPr>
        <w:t>(C)</w:t>
      </w:r>
      <w:r w:rsidR="0058598E" w:rsidRPr="00A26254">
        <w:rPr>
          <w:u w:val="single"/>
        </w:rPr>
        <w:fldChar w:fldCharType="end"/>
      </w:r>
      <w:r w:rsidRPr="00A26254">
        <w:t xml:space="preserve">, </w:t>
      </w:r>
      <w:r w:rsidR="00C5725F" w:rsidRPr="00A26254">
        <w:rPr>
          <w:u w:val="single"/>
        </w:rPr>
        <w:fldChar w:fldCharType="begin"/>
      </w:r>
      <w:r w:rsidR="00C5725F" w:rsidRPr="00A26254">
        <w:rPr>
          <w:u w:val="single"/>
        </w:rPr>
        <w:instrText xml:space="preserve"> REF  _Ref149742838 \h \w  \* MERGEFORMAT </w:instrText>
      </w:r>
      <w:r w:rsidR="00C5725F" w:rsidRPr="00A26254">
        <w:rPr>
          <w:u w:val="single"/>
        </w:rPr>
      </w:r>
      <w:r w:rsidR="00C5725F" w:rsidRPr="00A26254">
        <w:rPr>
          <w:u w:val="single"/>
        </w:rPr>
        <w:fldChar w:fldCharType="separate"/>
      </w:r>
      <w:r w:rsidR="00C5725F" w:rsidRPr="00A26254">
        <w:rPr>
          <w:u w:val="single"/>
        </w:rPr>
        <w:t>Article 13</w:t>
      </w:r>
      <w:r w:rsidR="00C5725F" w:rsidRPr="00A26254">
        <w:rPr>
          <w:u w:val="single"/>
        </w:rPr>
        <w:fldChar w:fldCharType="end"/>
      </w:r>
      <w:r w:rsidRPr="00A26254">
        <w:t xml:space="preserve"> and </w:t>
      </w:r>
      <w:r w:rsidR="00C5725F" w:rsidRPr="00A26254">
        <w:rPr>
          <w:u w:val="single"/>
        </w:rPr>
        <w:fldChar w:fldCharType="begin"/>
      </w:r>
      <w:r w:rsidR="00C5725F" w:rsidRPr="00A26254">
        <w:rPr>
          <w:u w:val="single"/>
        </w:rPr>
        <w:instrText xml:space="preserve"> REF  _Ref149742857 \h \w  \* MERGEFORMAT </w:instrText>
      </w:r>
      <w:r w:rsidR="00C5725F" w:rsidRPr="00A26254">
        <w:rPr>
          <w:u w:val="single"/>
        </w:rPr>
      </w:r>
      <w:r w:rsidR="00C5725F" w:rsidRPr="00A26254">
        <w:rPr>
          <w:u w:val="single"/>
        </w:rPr>
        <w:fldChar w:fldCharType="separate"/>
      </w:r>
      <w:r w:rsidR="00C5725F" w:rsidRPr="00A26254">
        <w:rPr>
          <w:u w:val="single"/>
        </w:rPr>
        <w:t>Article 17</w:t>
      </w:r>
      <w:r w:rsidR="00C5725F" w:rsidRPr="00A26254">
        <w:rPr>
          <w:u w:val="single"/>
        </w:rPr>
        <w:fldChar w:fldCharType="end"/>
      </w:r>
      <w:r w:rsidRPr="00A26254">
        <w:t xml:space="preserve"> below</w:t>
      </w:r>
      <w:r w:rsidR="00A26254" w:rsidRPr="00A26254">
        <w:rPr>
          <w:lang w:val="en-US"/>
        </w:rPr>
        <w:t>)</w:t>
      </w:r>
      <w:r w:rsidRPr="00A26254">
        <w:t>, and (iii) address any remedies or indemnifications arising prior to termination.</w:t>
      </w:r>
      <w:r w:rsidRPr="004C2548">
        <w:t xml:space="preserve"> </w:t>
      </w:r>
    </w:p>
    <w:p w14:paraId="70B88664" w14:textId="00216730" w:rsidR="00B63F33" w:rsidRDefault="00B63F33" w:rsidP="002B7809">
      <w:pPr>
        <w:pStyle w:val="ArticleL1"/>
        <w:rPr>
          <w:smallCaps/>
          <w:u w:val="single"/>
        </w:rPr>
      </w:pPr>
      <w:bookmarkStart w:id="35" w:name="_Toc288027241"/>
      <w:bookmarkStart w:id="36" w:name="_Toc433953958"/>
      <w:bookmarkStart w:id="37" w:name="_Toc433954116"/>
      <w:bookmarkStart w:id="38" w:name="_Toc147494833"/>
      <w:r>
        <w:t>Facility Description</w:t>
      </w:r>
      <w:bookmarkEnd w:id="35"/>
      <w:bookmarkEnd w:id="36"/>
      <w:bookmarkEnd w:id="37"/>
      <w:bookmarkEnd w:id="38"/>
    </w:p>
    <w:p w14:paraId="521879F7" w14:textId="280ABB7B" w:rsidR="00B63F33" w:rsidRDefault="00B63F33" w:rsidP="004F6DE4">
      <w:pPr>
        <w:pStyle w:val="ArticleL2"/>
      </w:pPr>
      <w:bookmarkStart w:id="39" w:name="_Toc147494834"/>
      <w:bookmarkStart w:id="40" w:name="_Toc288027242"/>
      <w:bookmarkStart w:id="41" w:name="_Toc433953959"/>
      <w:bookmarkStart w:id="42" w:name="_Toc433954117"/>
      <w:r w:rsidRPr="004F6DE4">
        <w:rPr>
          <w:rStyle w:val="ArticleL2UnderlineChar"/>
        </w:rPr>
        <w:t>Description</w:t>
      </w:r>
      <w:bookmarkEnd w:id="39"/>
      <w:r>
        <w:t xml:space="preserve">.  Seller shall construct, interconnect, own, operate, and maintain the Facility, as further described in </w:t>
      </w:r>
      <w:r w:rsidR="009076E2" w:rsidRPr="009076E2">
        <w:rPr>
          <w:u w:val="single"/>
        </w:rPr>
        <w:t xml:space="preserve">Exhibit C - Facility Description </w:t>
      </w:r>
      <w:proofErr w:type="gramStart"/>
      <w:r w:rsidR="009076E2" w:rsidRPr="009076E2">
        <w:rPr>
          <w:u w:val="single"/>
        </w:rPr>
        <w:t>And</w:t>
      </w:r>
      <w:proofErr w:type="gramEnd"/>
      <w:r w:rsidR="009076E2" w:rsidRPr="009076E2">
        <w:rPr>
          <w:u w:val="single"/>
        </w:rPr>
        <w:t xml:space="preserve"> Site Maps</w:t>
      </w:r>
      <w:r>
        <w:t xml:space="preserve">.  A scaled map that identifies the Site, the location of the Facility, the Interconnection Point and Interconnection Facilities, the Point of Delivery, and other important facilities, is included in </w:t>
      </w:r>
      <w:r w:rsidR="009076E2" w:rsidRPr="009076E2">
        <w:rPr>
          <w:u w:val="single"/>
        </w:rPr>
        <w:t xml:space="preserve">Exhibit C - Facility Description </w:t>
      </w:r>
      <w:proofErr w:type="gramStart"/>
      <w:r w:rsidR="009076E2" w:rsidRPr="009076E2">
        <w:rPr>
          <w:u w:val="single"/>
        </w:rPr>
        <w:t>And</w:t>
      </w:r>
      <w:proofErr w:type="gramEnd"/>
      <w:r w:rsidR="009076E2" w:rsidRPr="009076E2">
        <w:rPr>
          <w:u w:val="single"/>
        </w:rPr>
        <w:t xml:space="preserve"> Site Maps</w:t>
      </w:r>
      <w:r>
        <w:t>.</w:t>
      </w:r>
      <w:bookmarkEnd w:id="40"/>
      <w:bookmarkEnd w:id="41"/>
      <w:bookmarkEnd w:id="42"/>
    </w:p>
    <w:p w14:paraId="100BE801" w14:textId="674FD620" w:rsidR="00B63F33" w:rsidRDefault="00B63F33" w:rsidP="002B7809">
      <w:pPr>
        <w:pStyle w:val="ArticleL2"/>
      </w:pPr>
      <w:bookmarkStart w:id="43" w:name="_Toc288027243"/>
      <w:bookmarkStart w:id="44" w:name="_Toc433953960"/>
      <w:bookmarkStart w:id="45" w:name="_Toc433954118"/>
      <w:bookmarkStart w:id="46" w:name="_Toc147494835"/>
      <w:r w:rsidRPr="004F6DE4">
        <w:rPr>
          <w:rStyle w:val="ArticleL2UnderlineChar"/>
        </w:rPr>
        <w:t>General Design of the Facility</w:t>
      </w:r>
      <w:bookmarkEnd w:id="43"/>
      <w:bookmarkEnd w:id="44"/>
      <w:bookmarkEnd w:id="45"/>
      <w:bookmarkEnd w:id="46"/>
      <w:r w:rsidR="004F6DE4" w:rsidRPr="004F6DE4">
        <w:t>.</w:t>
      </w:r>
    </w:p>
    <w:p w14:paraId="33D017BA" w14:textId="77777777" w:rsidR="00B63F33" w:rsidRDefault="00B63F33" w:rsidP="002B7809">
      <w:pPr>
        <w:pStyle w:val="ArticleL3"/>
      </w:pPr>
      <w:r>
        <w:t xml:space="preserve">Seller shall design, construct, operate and maintain the Facility according to Good Utility Practices and the Interconnection Agreement.  </w:t>
      </w:r>
    </w:p>
    <w:p w14:paraId="512AF83C" w14:textId="472431DA" w:rsidR="00B63F33" w:rsidRDefault="00B63F33" w:rsidP="002B7809">
      <w:pPr>
        <w:pStyle w:val="ArticleL3"/>
      </w:pPr>
      <w:r>
        <w:t xml:space="preserve">The Facility shall include all equipment specified in </w:t>
      </w:r>
      <w:r w:rsidR="009076E2" w:rsidRPr="009076E2">
        <w:rPr>
          <w:u w:val="single"/>
        </w:rPr>
        <w:t xml:space="preserve">Exhibit C - Facility Description </w:t>
      </w:r>
      <w:r w:rsidR="00FE4442" w:rsidRPr="009076E2">
        <w:rPr>
          <w:u w:val="single"/>
        </w:rPr>
        <w:t>and</w:t>
      </w:r>
      <w:r w:rsidR="009076E2" w:rsidRPr="009076E2">
        <w:rPr>
          <w:u w:val="single"/>
        </w:rPr>
        <w:t xml:space="preserve"> Site Maps</w:t>
      </w:r>
      <w:r w:rsidR="009076E2">
        <w:rPr>
          <w:u w:val="single"/>
        </w:rPr>
        <w:t xml:space="preserve"> </w:t>
      </w:r>
      <w:r>
        <w:t xml:space="preserve">and otherwise necessary to fulfill Seller’s obligations under this PPA, including all equipment necessary (i) to meet the requirements of </w:t>
      </w:r>
      <w:r w:rsidR="000E4265" w:rsidRPr="009076E2">
        <w:rPr>
          <w:u w:val="single"/>
        </w:rPr>
        <w:t>Exhibit I - A</w:t>
      </w:r>
      <w:r w:rsidR="000E4265">
        <w:rPr>
          <w:u w:val="single"/>
        </w:rPr>
        <w:t>GC</w:t>
      </w:r>
      <w:r w:rsidR="000E4265" w:rsidRPr="009076E2">
        <w:rPr>
          <w:u w:val="single"/>
        </w:rPr>
        <w:t xml:space="preserve"> Protocols; Data Collection; Availability Reporting</w:t>
      </w:r>
      <w:r>
        <w:t xml:space="preserve">, and (ii) to interconnect successfully with the Transmission Authority’s System for the delivery of Renewable Energy. </w:t>
      </w:r>
      <w:r>
        <w:rPr>
          <w:highlight w:val="yellow"/>
        </w:rPr>
        <w:t>[Solar</w:t>
      </w:r>
      <w:r>
        <w:t xml:space="preserve">] The DC capacity of the Facility shall be the aggregate maximum design output for each </w:t>
      </w:r>
      <w:r>
        <w:rPr>
          <w:highlight w:val="yellow"/>
        </w:rPr>
        <w:t>Solar Unit</w:t>
      </w:r>
      <w:r>
        <w:t xml:space="preserve"> without giving effect to any limitation on the interconnection capacity specified in the Interconnection Agreement for the Facility.  The DC capacity of the Facility shall not exceed the amount specified in </w:t>
      </w:r>
      <w:r w:rsidR="009076E2" w:rsidRPr="009076E2">
        <w:rPr>
          <w:u w:val="single"/>
        </w:rPr>
        <w:t xml:space="preserve">Exhibit C - Facility Description </w:t>
      </w:r>
      <w:r w:rsidR="00FE4442" w:rsidRPr="009076E2">
        <w:rPr>
          <w:u w:val="single"/>
        </w:rPr>
        <w:t>and</w:t>
      </w:r>
      <w:r w:rsidR="009076E2" w:rsidRPr="009076E2">
        <w:rPr>
          <w:u w:val="single"/>
        </w:rPr>
        <w:t xml:space="preserve"> Site Maps</w:t>
      </w:r>
      <w:r>
        <w:t xml:space="preserve">. </w:t>
      </w:r>
    </w:p>
    <w:p w14:paraId="78820271" w14:textId="304CE70E" w:rsidR="00B63F33" w:rsidRDefault="00B63F33" w:rsidP="002B7809">
      <w:pPr>
        <w:pStyle w:val="ArticleL3"/>
      </w:pPr>
      <w:bookmarkStart w:id="47" w:name="_Ref149810784"/>
      <w:r>
        <w:t xml:space="preserve">The Nameplate Capacity of the Facility shall be </w:t>
      </w:r>
      <w:r>
        <w:rPr>
          <w:highlight w:val="yellow"/>
        </w:rPr>
        <w:t>[__</w:t>
      </w:r>
      <w:r>
        <w:t>] MW.  [</w:t>
      </w:r>
      <w:r>
        <w:rPr>
          <w:i/>
          <w:color w:val="FF0000"/>
          <w:szCs w:val="24"/>
          <w:highlight w:val="yellow"/>
        </w:rPr>
        <w:t>solar: add “AC”</w:t>
      </w:r>
      <w:r>
        <w:rPr>
          <w:szCs w:val="24"/>
        </w:rPr>
        <w:t>]</w:t>
      </w:r>
      <w:r>
        <w:rPr>
          <w:i/>
        </w:rPr>
        <w:t xml:space="preserve"> </w:t>
      </w:r>
      <w:r>
        <w:t xml:space="preserve"> +/- 0.5%.  Seller shall certify to Company the final actual Nameplate Capacity of the Facility promptly following COD.</w:t>
      </w:r>
      <w:bookmarkEnd w:id="47"/>
      <w:r>
        <w:t xml:space="preserve">  </w:t>
      </w:r>
    </w:p>
    <w:p w14:paraId="2EA4916D" w14:textId="6E2CB93A" w:rsidR="00B63F33" w:rsidRDefault="00B63F33" w:rsidP="002B7809">
      <w:pPr>
        <w:pStyle w:val="ArticleL1"/>
      </w:pPr>
      <w:bookmarkStart w:id="48" w:name="_Toc288027244"/>
      <w:bookmarkStart w:id="49" w:name="_Toc433953961"/>
      <w:bookmarkStart w:id="50" w:name="_Toc433954119"/>
      <w:bookmarkStart w:id="51" w:name="_Toc147494836"/>
      <w:r>
        <w:t>Implementation</w:t>
      </w:r>
      <w:bookmarkEnd w:id="48"/>
      <w:bookmarkEnd w:id="49"/>
      <w:bookmarkEnd w:id="50"/>
      <w:bookmarkEnd w:id="51"/>
    </w:p>
    <w:p w14:paraId="7A6BDD7C" w14:textId="44CADEC8" w:rsidR="00B63F33" w:rsidRDefault="00B63F33" w:rsidP="002B7809">
      <w:pPr>
        <w:pStyle w:val="ArticleL2"/>
      </w:pPr>
      <w:bookmarkStart w:id="52" w:name="_Toc147494837"/>
      <w:bookmarkStart w:id="53" w:name="_Toc433953962"/>
      <w:bookmarkStart w:id="54" w:name="_Toc433954120"/>
      <w:bookmarkStart w:id="55" w:name="_Toc288027245"/>
      <w:r w:rsidRPr="004F6DE4">
        <w:rPr>
          <w:rStyle w:val="ArticleL2UnderlineChar"/>
        </w:rPr>
        <w:t>Project Development</w:t>
      </w:r>
      <w:bookmarkEnd w:id="52"/>
      <w:r>
        <w:rPr>
          <w:i/>
        </w:rPr>
        <w:t>.</w:t>
      </w:r>
      <w:bookmarkEnd w:id="53"/>
      <w:bookmarkEnd w:id="54"/>
    </w:p>
    <w:p w14:paraId="171CC48D" w14:textId="5C0DD4C1" w:rsidR="00B63F33" w:rsidRDefault="00B63F33" w:rsidP="002B7809">
      <w:pPr>
        <w:pStyle w:val="ArticleL3"/>
      </w:pPr>
      <w:bookmarkStart w:id="56" w:name="_Ref149809695"/>
      <w:r>
        <w:t xml:space="preserve">Seller shall enter into and perform at its expense all contracts, including any equipment procurement contracts, required for (i) the engineering, procurement, construction, acquisition, manufacture, delivery and installation of the </w:t>
      </w:r>
      <w:r>
        <w:lastRenderedPageBreak/>
        <w:t>Facility, and (ii) the generation and delivery of Renewable Energy from the Facility (generally, the “</w:t>
      </w:r>
      <w:r>
        <w:rPr>
          <w:u w:val="single"/>
        </w:rPr>
        <w:t>Construction Contracts</w:t>
      </w:r>
      <w:r>
        <w:t xml:space="preserve">”) with qualified and experienced contractors.  Upon written request by Company, Seller shall promptly provide copies of any or all Construction Contracts to Company. At Company’s discretion, Seller may also provide a memorandum of agreement executed by Seller and the contracting party related to a Construction Contract. Such memorandum of agreement shall set forth the basic terms of such contract, including the names of the parties thereto, the date of such contract, a summary of any products or services to be provided and other information reasonably sufficient for Company to determine that the Construction Contract contains those obligations necessary for Seller to satisfy the Construction Milestones.   </w:t>
      </w:r>
      <w:r>
        <w:rPr>
          <w:szCs w:val="24"/>
        </w:rPr>
        <w:t xml:space="preserve">All Construction Contracts obtained by Company shall be </w:t>
      </w:r>
      <w:proofErr w:type="gramStart"/>
      <w:r>
        <w:rPr>
          <w:szCs w:val="24"/>
        </w:rPr>
        <w:t>deemed</w:t>
      </w:r>
      <w:proofErr w:type="gramEnd"/>
      <w:r>
        <w:rPr>
          <w:szCs w:val="24"/>
        </w:rPr>
        <w:t xml:space="preserve"> Confidential Information subject to </w:t>
      </w:r>
      <w:r>
        <w:rPr>
          <w:szCs w:val="24"/>
          <w:u w:val="single"/>
        </w:rPr>
        <w:t xml:space="preserve">Section </w:t>
      </w:r>
      <w:r w:rsidR="00F704BE">
        <w:rPr>
          <w:szCs w:val="24"/>
          <w:u w:val="single"/>
        </w:rPr>
        <w:fldChar w:fldCharType="begin"/>
      </w:r>
      <w:r w:rsidR="00F704BE">
        <w:rPr>
          <w:szCs w:val="24"/>
          <w:u w:val="single"/>
        </w:rPr>
        <w:instrText xml:space="preserve"> REF _Ref149813653 \w \h </w:instrText>
      </w:r>
      <w:r w:rsidR="00F704BE">
        <w:rPr>
          <w:szCs w:val="24"/>
          <w:u w:val="single"/>
        </w:rPr>
      </w:r>
      <w:r w:rsidR="00F704BE">
        <w:rPr>
          <w:szCs w:val="24"/>
          <w:u w:val="single"/>
        </w:rPr>
        <w:fldChar w:fldCharType="separate"/>
      </w:r>
      <w:r w:rsidR="00F704BE">
        <w:rPr>
          <w:szCs w:val="24"/>
          <w:u w:val="single"/>
        </w:rPr>
        <w:t>20.18</w:t>
      </w:r>
      <w:r w:rsidR="00F704BE">
        <w:rPr>
          <w:szCs w:val="24"/>
          <w:u w:val="single"/>
        </w:rPr>
        <w:fldChar w:fldCharType="end"/>
      </w:r>
      <w:r>
        <w:t xml:space="preserve"> below.</w:t>
      </w:r>
      <w:bookmarkEnd w:id="56"/>
    </w:p>
    <w:p w14:paraId="45AD1B48" w14:textId="2D26D31F" w:rsidR="00B63F33" w:rsidRDefault="00B63F33" w:rsidP="002B7809">
      <w:pPr>
        <w:pStyle w:val="ArticleL3"/>
      </w:pPr>
      <w:bookmarkStart w:id="57" w:name="_Ref149742902"/>
      <w:r>
        <w:t xml:space="preserve">In its efforts to achieve COD, Seller shall use Commercially Reasonable Efforts to achieve the milestones set forth in </w:t>
      </w:r>
      <w:r w:rsidR="009076E2" w:rsidRPr="009076E2">
        <w:rPr>
          <w:u w:val="single"/>
        </w:rPr>
        <w:t>Exhibit B - Construction Milestones</w:t>
      </w:r>
      <w:r>
        <w:t xml:space="preserve"> and shall notify Company promptly following achievement of each such milestone.</w:t>
      </w:r>
      <w:r>
        <w:rPr>
          <w:rFonts w:cs="Times New Roman"/>
          <w:szCs w:val="24"/>
        </w:rPr>
        <w:t xml:space="preserve"> </w:t>
      </w:r>
      <w:r>
        <w:t>In addition, Seller shall achieve each Critical Path Development Milestone on or before the applicable deadline for achieving such Critical Path Development Milestone specified below.  Seller shall provide to Company, on or before the applicable deadline to achieve each Critical Path Development Milestone, evidence reasonably satisfactory to Company that the Critical Path Development Milestone has been achieved. Seller shall also provide any additional evidence reasonably requested by Company that the Critical Path Development Milestone has been achieved, including certifications from an officer of Seller.</w:t>
      </w:r>
      <w:bookmarkEnd w:id="57"/>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870"/>
      </w:tblGrid>
      <w:tr w:rsidR="00B63F33" w14:paraId="22D0F162" w14:textId="77777777">
        <w:tc>
          <w:tcPr>
            <w:tcW w:w="4050" w:type="dxa"/>
            <w:shd w:val="clear" w:color="auto" w:fill="auto"/>
          </w:tcPr>
          <w:p w14:paraId="1CFC6CA1" w14:textId="77777777" w:rsidR="00B63F33" w:rsidRDefault="00B63F33">
            <w:pPr>
              <w:pStyle w:val="BodyText"/>
              <w:rPr>
                <w:b/>
                <w:bCs/>
                <w:lang w:val="en-US" w:eastAsia="en-US"/>
              </w:rPr>
            </w:pPr>
            <w:r>
              <w:rPr>
                <w:b/>
                <w:bCs/>
                <w:lang w:val="en-US" w:eastAsia="en-US"/>
              </w:rPr>
              <w:t>Critical Path Development Milestone</w:t>
            </w:r>
          </w:p>
        </w:tc>
        <w:tc>
          <w:tcPr>
            <w:tcW w:w="3870" w:type="dxa"/>
            <w:shd w:val="clear" w:color="auto" w:fill="auto"/>
          </w:tcPr>
          <w:p w14:paraId="1AE01D4E" w14:textId="77777777" w:rsidR="00B63F33" w:rsidRDefault="00B63F33">
            <w:pPr>
              <w:pStyle w:val="BodyText"/>
              <w:rPr>
                <w:b/>
                <w:bCs/>
                <w:lang w:val="en-US" w:eastAsia="en-US"/>
              </w:rPr>
            </w:pPr>
            <w:r>
              <w:rPr>
                <w:b/>
                <w:bCs/>
                <w:lang w:val="en-US" w:eastAsia="en-US"/>
              </w:rPr>
              <w:t>To be completed no later than (completion deadline):</w:t>
            </w:r>
          </w:p>
        </w:tc>
      </w:tr>
      <w:tr w:rsidR="00B63F33" w14:paraId="75E37807" w14:textId="77777777">
        <w:tc>
          <w:tcPr>
            <w:tcW w:w="4050" w:type="dxa"/>
            <w:shd w:val="clear" w:color="auto" w:fill="auto"/>
          </w:tcPr>
          <w:p w14:paraId="44C91158" w14:textId="77777777" w:rsidR="00B63F33" w:rsidRDefault="00B63F33">
            <w:pPr>
              <w:pStyle w:val="BodyText"/>
              <w:rPr>
                <w:lang w:val="en-US" w:eastAsia="en-US"/>
              </w:rPr>
            </w:pPr>
            <w:r>
              <w:rPr>
                <w:lang w:val="en-US" w:eastAsia="en-US"/>
              </w:rPr>
              <w:t xml:space="preserve">Acquisition of all Seller’s Needed Permits required to construct the Facility </w:t>
            </w:r>
          </w:p>
        </w:tc>
        <w:tc>
          <w:tcPr>
            <w:tcW w:w="3870" w:type="dxa"/>
            <w:shd w:val="clear" w:color="auto" w:fill="auto"/>
          </w:tcPr>
          <w:p w14:paraId="70AB4784" w14:textId="77777777" w:rsidR="00B63F33" w:rsidRDefault="00B63F33">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r w:rsidR="00B63F33" w14:paraId="5CEE3BBD" w14:textId="77777777">
        <w:tc>
          <w:tcPr>
            <w:tcW w:w="4050" w:type="dxa"/>
            <w:shd w:val="clear" w:color="auto" w:fill="auto"/>
          </w:tcPr>
          <w:p w14:paraId="3280A618" w14:textId="77777777" w:rsidR="00B63F33" w:rsidRDefault="00B63F33">
            <w:pPr>
              <w:pStyle w:val="BodyText"/>
              <w:rPr>
                <w:lang w:val="en-US" w:eastAsia="en-US"/>
              </w:rPr>
            </w:pPr>
            <w:bookmarkStart w:id="58" w:name="_Hlk97580609"/>
            <w:r>
              <w:rPr>
                <w:lang w:val="en-US" w:eastAsia="en-US"/>
              </w:rPr>
              <w:t>Execution of all Construction Contracts</w:t>
            </w:r>
            <w:bookmarkEnd w:id="58"/>
            <w:r>
              <w:rPr>
                <w:lang w:val="en-US" w:eastAsia="en-US"/>
              </w:rPr>
              <w:t xml:space="preserve"> </w:t>
            </w:r>
          </w:p>
        </w:tc>
        <w:tc>
          <w:tcPr>
            <w:tcW w:w="3870" w:type="dxa"/>
            <w:shd w:val="clear" w:color="auto" w:fill="auto"/>
          </w:tcPr>
          <w:p w14:paraId="0C70C2CF" w14:textId="77777777" w:rsidR="00B63F33" w:rsidRDefault="00B63F33">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r w:rsidR="00B63F33" w14:paraId="2E144984" w14:textId="77777777">
        <w:tc>
          <w:tcPr>
            <w:tcW w:w="4050" w:type="dxa"/>
            <w:shd w:val="clear" w:color="auto" w:fill="auto"/>
          </w:tcPr>
          <w:p w14:paraId="3A76B8DF" w14:textId="77777777" w:rsidR="00B63F33" w:rsidRDefault="00B63F33">
            <w:pPr>
              <w:pStyle w:val="BodyText"/>
              <w:rPr>
                <w:lang w:val="en-US" w:eastAsia="en-US"/>
              </w:rPr>
            </w:pPr>
            <w:r>
              <w:rPr>
                <w:lang w:val="en-US" w:eastAsia="en-US"/>
              </w:rPr>
              <w:t>Closing of project financing for the Facility or providing the Company with proof of financial capability to construct the Facility</w:t>
            </w:r>
          </w:p>
        </w:tc>
        <w:tc>
          <w:tcPr>
            <w:tcW w:w="3870" w:type="dxa"/>
            <w:shd w:val="clear" w:color="auto" w:fill="auto"/>
          </w:tcPr>
          <w:p w14:paraId="779F1C79" w14:textId="77777777" w:rsidR="00B63F33" w:rsidRDefault="00B63F33">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bl>
    <w:p w14:paraId="5B5514A8" w14:textId="77777777" w:rsidR="00B63F33" w:rsidRDefault="00B63F33" w:rsidP="002B7809">
      <w:pPr>
        <w:pStyle w:val="ArticleL3"/>
        <w:numPr>
          <w:ilvl w:val="0"/>
          <w:numId w:val="0"/>
        </w:numPr>
        <w:ind w:left="1440"/>
      </w:pPr>
    </w:p>
    <w:p w14:paraId="6A066AB6" w14:textId="1C3F2B51" w:rsidR="00B63F33" w:rsidRDefault="00B63F33" w:rsidP="002B7809">
      <w:pPr>
        <w:pStyle w:val="ArticleL4"/>
        <w:numPr>
          <w:ilvl w:val="0"/>
          <w:numId w:val="0"/>
        </w:numPr>
        <w:ind w:left="720"/>
      </w:pPr>
      <w:r>
        <w:t xml:space="preserve">If Seller anticipates a CPD Delay because it is unable, using Commercially Reasonable Efforts, to achieve any of the Critical Path Development Milestones by the applicable deadline, then Seller may extend the timeframe to achieve such Critical Path Development Milestones as set forth in </w:t>
      </w:r>
      <w:r>
        <w:rPr>
          <w:u w:val="single"/>
        </w:rPr>
        <w:t xml:space="preserve">Section </w:t>
      </w:r>
      <w:r w:rsidR="0058598E">
        <w:rPr>
          <w:u w:val="single"/>
        </w:rPr>
        <w:fldChar w:fldCharType="begin"/>
      </w:r>
      <w:r w:rsidR="0058598E">
        <w:rPr>
          <w:u w:val="single"/>
        </w:rPr>
        <w:instrText xml:space="preserve"> REF _Ref149742884 \w \h </w:instrText>
      </w:r>
      <w:r w:rsidR="0058598E">
        <w:rPr>
          <w:u w:val="single"/>
        </w:rPr>
      </w:r>
      <w:r w:rsidR="0058598E">
        <w:rPr>
          <w:u w:val="single"/>
        </w:rPr>
        <w:fldChar w:fldCharType="separate"/>
      </w:r>
      <w:r w:rsidR="0058598E">
        <w:rPr>
          <w:u w:val="single"/>
        </w:rPr>
        <w:t>12.2(A)</w:t>
      </w:r>
      <w:r w:rsidR="0058598E">
        <w:rPr>
          <w:u w:val="single"/>
        </w:rPr>
        <w:fldChar w:fldCharType="end"/>
      </w:r>
      <w:r>
        <w:t xml:space="preserve"> subject to the </w:t>
      </w:r>
      <w:r>
        <w:lastRenderedPageBreak/>
        <w:t xml:space="preserve">payment of Liquidated Delay Damages so long as the following conditions are satisfied: </w:t>
      </w:r>
    </w:p>
    <w:p w14:paraId="1338C7B9" w14:textId="3FF20606" w:rsidR="00B63F33" w:rsidRDefault="00B63F33" w:rsidP="00B34CF9">
      <w:pPr>
        <w:pStyle w:val="ArticleL4"/>
      </w:pPr>
      <w:r>
        <w:t xml:space="preserve">At least thirty (30) </w:t>
      </w:r>
      <w:r w:rsidR="00B34CF9">
        <w:t>D</w:t>
      </w:r>
      <w:r>
        <w:t xml:space="preserve">ays prior to the applicable completion deadline set forth above, Seller submits to Company (a) a written description of the reason for the failure; and (b) a Recovery Plan for completing all necessary work to achieve completion of the missed Critical Path Development Milestone by a date certain (which plan may contemplate the payment of Liquidated Delay Damages).  </w:t>
      </w:r>
    </w:p>
    <w:p w14:paraId="0452C480" w14:textId="3B33C59A" w:rsidR="00B63F33" w:rsidRDefault="00B63F33" w:rsidP="00B34CF9">
      <w:pPr>
        <w:pStyle w:val="ArticleL4"/>
      </w:pPr>
      <w:r>
        <w:t xml:space="preserve">Seller shall commence the work contemplated by the Recovery Plan within five (5) Days after submitting such Recovery Plan to Company. </w:t>
      </w:r>
    </w:p>
    <w:p w14:paraId="76491021" w14:textId="77777777" w:rsidR="00B63F33" w:rsidRDefault="00B63F33" w:rsidP="00B34CF9">
      <w:pPr>
        <w:pStyle w:val="ArticleL4"/>
      </w:pPr>
      <w:r>
        <w:t xml:space="preserve">Seller shall be solely responsible for any costs or expenses incurred by Seller </w:t>
      </w:r>
      <w:proofErr w:type="gramStart"/>
      <w:r>
        <w:t>as a result of</w:t>
      </w:r>
      <w:proofErr w:type="gramEnd"/>
      <w:r>
        <w:t xml:space="preserve"> the formulation and implementation of the Recovery Plan.</w:t>
      </w:r>
    </w:p>
    <w:p w14:paraId="6BFCB394" w14:textId="000D65B6" w:rsidR="00B63F33" w:rsidRDefault="00B63F33">
      <w:pPr>
        <w:pStyle w:val="BodyText"/>
        <w:ind w:firstLine="720"/>
        <w:jc w:val="both"/>
      </w:pPr>
      <w:r>
        <w:t xml:space="preserve">Nothing in this </w:t>
      </w:r>
      <w:r>
        <w:rPr>
          <w:u w:val="single"/>
        </w:rPr>
        <w:t xml:space="preserve">Section </w:t>
      </w:r>
      <w:r w:rsidR="0058598E">
        <w:rPr>
          <w:u w:val="single"/>
        </w:rPr>
        <w:fldChar w:fldCharType="begin"/>
      </w:r>
      <w:r w:rsidR="0058598E">
        <w:rPr>
          <w:u w:val="single"/>
        </w:rPr>
        <w:instrText xml:space="preserve"> REF _Ref149742902 \w \h </w:instrText>
      </w:r>
      <w:r w:rsidR="0058598E">
        <w:rPr>
          <w:u w:val="single"/>
        </w:rPr>
      </w:r>
      <w:r w:rsidR="0058598E">
        <w:rPr>
          <w:u w:val="single"/>
        </w:rPr>
        <w:fldChar w:fldCharType="separate"/>
      </w:r>
      <w:r w:rsidR="0058598E">
        <w:rPr>
          <w:u w:val="single"/>
        </w:rPr>
        <w:t>4.1(B)</w:t>
      </w:r>
      <w:r w:rsidR="0058598E">
        <w:rPr>
          <w:u w:val="single"/>
        </w:rPr>
        <w:fldChar w:fldCharType="end"/>
      </w:r>
      <w:r>
        <w:t xml:space="preserve"> shall be construed to: (x) relieve Seller of its obligations under this PPA; (y) modify the deadlines for achieving the remaining Critical Path Development Milestones, including the Target COD, as applicable (except for the update to the milestone schedule pursuant to </w:t>
      </w:r>
      <w:r>
        <w:rPr>
          <w:u w:val="single"/>
        </w:rPr>
        <w:t xml:space="preserve">Section </w:t>
      </w:r>
      <w:r w:rsidR="0058598E">
        <w:rPr>
          <w:u w:val="single"/>
        </w:rPr>
        <w:fldChar w:fldCharType="begin"/>
      </w:r>
      <w:r w:rsidR="0058598E">
        <w:rPr>
          <w:u w:val="single"/>
        </w:rPr>
        <w:instrText xml:space="preserve"> REF _Ref149742928 \w \h </w:instrText>
      </w:r>
      <w:r w:rsidR="0058598E">
        <w:rPr>
          <w:u w:val="single"/>
        </w:rPr>
      </w:r>
      <w:r w:rsidR="0058598E">
        <w:rPr>
          <w:u w:val="single"/>
        </w:rPr>
        <w:fldChar w:fldCharType="separate"/>
      </w:r>
      <w:r w:rsidR="0058598E">
        <w:rPr>
          <w:u w:val="single"/>
        </w:rPr>
        <w:t>12.2(B)</w:t>
      </w:r>
      <w:r w:rsidR="0058598E">
        <w:rPr>
          <w:u w:val="single"/>
        </w:rPr>
        <w:fldChar w:fldCharType="end"/>
      </w:r>
      <w:r>
        <w:t xml:space="preserve"> and the missed Critical Path Development Milestone which Seller is attempting to cure under this </w:t>
      </w:r>
      <w:r>
        <w:rPr>
          <w:u w:val="single"/>
        </w:rPr>
        <w:t xml:space="preserve">Section </w:t>
      </w:r>
      <w:r w:rsidR="0058598E">
        <w:rPr>
          <w:u w:val="single"/>
        </w:rPr>
        <w:fldChar w:fldCharType="begin"/>
      </w:r>
      <w:r w:rsidR="0058598E">
        <w:rPr>
          <w:u w:val="single"/>
        </w:rPr>
        <w:instrText xml:space="preserve"> REF _Ref149742902 \w \h </w:instrText>
      </w:r>
      <w:r w:rsidR="0058598E">
        <w:rPr>
          <w:u w:val="single"/>
        </w:rPr>
      </w:r>
      <w:r w:rsidR="0058598E">
        <w:rPr>
          <w:u w:val="single"/>
        </w:rPr>
        <w:fldChar w:fldCharType="separate"/>
      </w:r>
      <w:r w:rsidR="0058598E">
        <w:rPr>
          <w:u w:val="single"/>
        </w:rPr>
        <w:t>4.1(B)</w:t>
      </w:r>
      <w:r w:rsidR="0058598E">
        <w:rPr>
          <w:u w:val="single"/>
        </w:rPr>
        <w:fldChar w:fldCharType="end"/>
      </w:r>
      <w:r>
        <w:t xml:space="preserve">) or (z) extend the applicable cure period set forth in </w:t>
      </w:r>
      <w:r>
        <w:rPr>
          <w:u w:val="single"/>
        </w:rPr>
        <w:t xml:space="preserve">Section </w:t>
      </w:r>
      <w:r w:rsidR="0058598E">
        <w:rPr>
          <w:u w:val="single"/>
        </w:rPr>
        <w:fldChar w:fldCharType="begin"/>
      </w:r>
      <w:r w:rsidR="0058598E">
        <w:rPr>
          <w:u w:val="single"/>
        </w:rPr>
        <w:instrText xml:space="preserve"> REF _Ref149742928 \w \h </w:instrText>
      </w:r>
      <w:r w:rsidR="0058598E">
        <w:rPr>
          <w:u w:val="single"/>
        </w:rPr>
      </w:r>
      <w:r w:rsidR="0058598E">
        <w:rPr>
          <w:u w:val="single"/>
        </w:rPr>
        <w:fldChar w:fldCharType="separate"/>
      </w:r>
      <w:r w:rsidR="0058598E">
        <w:rPr>
          <w:u w:val="single"/>
        </w:rPr>
        <w:t>12.2(B)</w:t>
      </w:r>
      <w:r w:rsidR="0058598E">
        <w:rPr>
          <w:u w:val="single"/>
        </w:rPr>
        <w:fldChar w:fldCharType="end"/>
      </w:r>
      <w:r>
        <w:t xml:space="preserve"> or impair the Company’s right to terminate this </w:t>
      </w:r>
      <w:bookmarkStart w:id="59" w:name="_cp_change_5"/>
      <w:r w:rsidRPr="002B7809">
        <w:rPr>
          <w:color w:val="000000" w:themeColor="text1"/>
          <w:lang w:val="en-US"/>
        </w:rPr>
        <w:t>PPA</w:t>
      </w:r>
      <w:bookmarkEnd w:id="59"/>
      <w:r w:rsidRPr="002B7809">
        <w:rPr>
          <w:color w:val="000000" w:themeColor="text1"/>
        </w:rPr>
        <w:t xml:space="preserve"> </w:t>
      </w:r>
      <w:r>
        <w:t xml:space="preserve">pursuant to </w:t>
      </w:r>
      <w:r>
        <w:rPr>
          <w:u w:val="single"/>
        </w:rPr>
        <w:t xml:space="preserve">Section </w:t>
      </w:r>
      <w:r w:rsidR="0058598E">
        <w:rPr>
          <w:u w:val="single"/>
        </w:rPr>
        <w:fldChar w:fldCharType="begin"/>
      </w:r>
      <w:r w:rsidR="0058598E">
        <w:rPr>
          <w:u w:val="single"/>
        </w:rPr>
        <w:instrText xml:space="preserve"> REF _Ref149742803 \w \h </w:instrText>
      </w:r>
      <w:r w:rsidR="0058598E">
        <w:rPr>
          <w:u w:val="single"/>
        </w:rPr>
      </w:r>
      <w:r w:rsidR="0058598E">
        <w:rPr>
          <w:u w:val="single"/>
        </w:rPr>
        <w:fldChar w:fldCharType="separate"/>
      </w:r>
      <w:r w:rsidR="0058598E">
        <w:rPr>
          <w:u w:val="single"/>
        </w:rPr>
        <w:t>12.2(</w:t>
      </w:r>
      <w:r w:rsidR="00971998">
        <w:rPr>
          <w:u w:val="single"/>
          <w:lang w:val="en-US"/>
        </w:rPr>
        <w:t>D</w:t>
      </w:r>
      <w:r w:rsidR="0058598E">
        <w:rPr>
          <w:u w:val="single"/>
        </w:rPr>
        <w:t>)</w:t>
      </w:r>
      <w:r w:rsidR="0058598E">
        <w:rPr>
          <w:u w:val="single"/>
        </w:rPr>
        <w:fldChar w:fldCharType="end"/>
      </w:r>
      <w:r>
        <w:t xml:space="preserve">.  For clarity, failure to cure a CPD Delay within the applicable cure period set forth in </w:t>
      </w:r>
      <w:r>
        <w:rPr>
          <w:u w:val="single"/>
        </w:rPr>
        <w:t xml:space="preserve">Section </w:t>
      </w:r>
      <w:r w:rsidR="0058598E">
        <w:rPr>
          <w:u w:val="single"/>
        </w:rPr>
        <w:fldChar w:fldCharType="begin"/>
      </w:r>
      <w:r w:rsidR="0058598E">
        <w:rPr>
          <w:u w:val="single"/>
        </w:rPr>
        <w:instrText xml:space="preserve"> REF _Ref149742928 \w \h </w:instrText>
      </w:r>
      <w:r w:rsidR="0058598E">
        <w:rPr>
          <w:u w:val="single"/>
        </w:rPr>
      </w:r>
      <w:r w:rsidR="0058598E">
        <w:rPr>
          <w:u w:val="single"/>
        </w:rPr>
        <w:fldChar w:fldCharType="separate"/>
      </w:r>
      <w:r w:rsidR="0058598E">
        <w:rPr>
          <w:u w:val="single"/>
        </w:rPr>
        <w:t>12.2(B)</w:t>
      </w:r>
      <w:r w:rsidR="0058598E">
        <w:rPr>
          <w:u w:val="single"/>
        </w:rPr>
        <w:fldChar w:fldCharType="end"/>
      </w:r>
      <w:r>
        <w:t xml:space="preserve"> shall be subject to termination as set forth in </w:t>
      </w:r>
      <w:r>
        <w:rPr>
          <w:u w:val="single"/>
        </w:rPr>
        <w:t xml:space="preserve">Section </w:t>
      </w:r>
      <w:r w:rsidR="0058598E">
        <w:rPr>
          <w:u w:val="single"/>
        </w:rPr>
        <w:fldChar w:fldCharType="begin"/>
      </w:r>
      <w:r w:rsidR="0058598E">
        <w:rPr>
          <w:u w:val="single"/>
        </w:rPr>
        <w:instrText xml:space="preserve"> REF _Ref149742803 \w \h </w:instrText>
      </w:r>
      <w:r w:rsidR="0058598E">
        <w:rPr>
          <w:u w:val="single"/>
        </w:rPr>
      </w:r>
      <w:r w:rsidR="0058598E">
        <w:rPr>
          <w:u w:val="single"/>
        </w:rPr>
        <w:fldChar w:fldCharType="separate"/>
      </w:r>
      <w:r w:rsidR="0058598E">
        <w:rPr>
          <w:u w:val="single"/>
        </w:rPr>
        <w:t>12.2(</w:t>
      </w:r>
      <w:r w:rsidR="00971998">
        <w:rPr>
          <w:u w:val="single"/>
          <w:lang w:val="en-US"/>
        </w:rPr>
        <w:t>D</w:t>
      </w:r>
      <w:r w:rsidR="0058598E">
        <w:rPr>
          <w:u w:val="single"/>
        </w:rPr>
        <w:t>)</w:t>
      </w:r>
      <w:r w:rsidR="0058598E">
        <w:rPr>
          <w:u w:val="single"/>
        </w:rPr>
        <w:fldChar w:fldCharType="end"/>
      </w:r>
      <w:r>
        <w:t>.</w:t>
      </w:r>
    </w:p>
    <w:p w14:paraId="58821CB1" w14:textId="7BC56D26" w:rsidR="00B63F33" w:rsidRDefault="00B63F33" w:rsidP="002B7809">
      <w:pPr>
        <w:pStyle w:val="ArticleL3"/>
      </w:pPr>
      <w:r>
        <w:t xml:space="preserve">Prior to the Commercial Operation Date, Seller shall (i) submit monthly progress reports to Company in a form agreed to by the Parties, advising Company of the current status of each Construction and Critical Path Development Milestone, any significant developments or delays (along with an action plan for making up delays), and Seller’s best estimate of the Commercial Operation Date; (ii) provide copies of reports submitted to the Facility Lender relating to status, progress and development of the Facility, and (iii) invite Company to participate in monthly meetings to discuss the progress reports, answer questions, and assess the schedule.  Seller shall make all relevant counterparties under the Construction Contracts available to Company, upon request, </w:t>
      </w:r>
      <w:proofErr w:type="gramStart"/>
      <w:r>
        <w:t>in order to</w:t>
      </w:r>
      <w:proofErr w:type="gramEnd"/>
      <w:r>
        <w:t xml:space="preserve"> keep Company fully informed on the status of development.</w:t>
      </w:r>
    </w:p>
    <w:p w14:paraId="129389BF" w14:textId="77777777" w:rsidR="00B63F33" w:rsidRDefault="00B63F33" w:rsidP="002B7809">
      <w:pPr>
        <w:pStyle w:val="ArticleL3"/>
      </w:pPr>
      <w:r>
        <w:t xml:space="preserve">Upon request, Company shall have the right to monitor the construction, start-up, testing, and operation of the Facility at the Site to verify compliance with this PPA, </w:t>
      </w:r>
      <w:r>
        <w:rPr>
          <w:i/>
        </w:rPr>
        <w:t xml:space="preserve">provided, however, </w:t>
      </w:r>
      <w:r>
        <w:t xml:space="preserve">that Company shall comply with all of Seller’s applicable safety and health rules and requirements. </w:t>
      </w:r>
    </w:p>
    <w:p w14:paraId="411816E3" w14:textId="4E099038" w:rsidR="00B63F33" w:rsidRDefault="00B63F33" w:rsidP="002B7809">
      <w:pPr>
        <w:pStyle w:val="ArticleL3"/>
      </w:pPr>
      <w:r>
        <w:t xml:space="preserve">Neither Company’s review of Construction Contracts, memoranda thereof and Seller’s reports, nor its discussions with Seller and its contractors, nor its monitoring of development and construction of the Facility, shall be construed as endorsement by Company of the design, engineering, construction or testing thereof nor </w:t>
      </w:r>
      <w:r>
        <w:lastRenderedPageBreak/>
        <w:t xml:space="preserve">as any express or implied warranty as to the performance, safety, durability, or reliability of the Facility. </w:t>
      </w:r>
    </w:p>
    <w:p w14:paraId="5432ECA3" w14:textId="7323CE5D" w:rsidR="00B63F33" w:rsidRDefault="00B63F33" w:rsidP="002B7809">
      <w:pPr>
        <w:pStyle w:val="ArticleL2"/>
      </w:pPr>
      <w:bookmarkStart w:id="60" w:name="_Toc147494838"/>
      <w:bookmarkStart w:id="61" w:name="_Toc433953963"/>
      <w:bookmarkStart w:id="62" w:name="_Toc433954121"/>
      <w:r w:rsidRPr="004F6DE4">
        <w:rPr>
          <w:rStyle w:val="ArticleL2UnderlineChar"/>
        </w:rPr>
        <w:t>Environmental Matters</w:t>
      </w:r>
      <w:bookmarkEnd w:id="60"/>
      <w:r>
        <w:rPr>
          <w:i/>
        </w:rPr>
        <w:t>.</w:t>
      </w:r>
      <w:bookmarkEnd w:id="61"/>
      <w:bookmarkEnd w:id="62"/>
    </w:p>
    <w:p w14:paraId="40AD11D1" w14:textId="13D5C1B5" w:rsidR="00B63F33" w:rsidRDefault="00B63F33" w:rsidP="002B7809">
      <w:pPr>
        <w:pStyle w:val="ArticleL3"/>
      </w:pPr>
      <w:r>
        <w:t xml:space="preserve">No later than sixty (60) Days following PUC Approval, Seller shall complete and provide to Company a valid and comprehensive independent “Phase I” environmental site assessment of the Site that is conducted in compliance with ASTM E1527-211 or E2247-16, as applicable (including associated raw data, if requested by Company), which report shall have been prepared within a reasonably proximate time such that it reflects the then-current conditions of the Site.  Seller shall notify Company promptly (i) if (and to what extent) any Environmental Contamination on the Site will preclude or interfere with Seller’s ability to perform its obligations under this PPA, and (ii) Seller’s plan for remediation thereof that would allow Seller to perform this PPA as and when due.  The Phase I report delivered to Company under this paragraph shall be </w:t>
      </w:r>
      <w:proofErr w:type="gramStart"/>
      <w:r>
        <w:t>deemed</w:t>
      </w:r>
      <w:proofErr w:type="gramEnd"/>
      <w:r>
        <w:t xml:space="preserve"> Confidential Information for purposes of </w:t>
      </w:r>
      <w:r>
        <w:rPr>
          <w:u w:val="single"/>
        </w:rPr>
        <w:t xml:space="preserve">Section </w:t>
      </w:r>
      <w:r w:rsidR="0058598E">
        <w:rPr>
          <w:u w:val="single"/>
        </w:rPr>
        <w:fldChar w:fldCharType="begin"/>
      </w:r>
      <w:r w:rsidR="0058598E">
        <w:rPr>
          <w:u w:val="single"/>
        </w:rPr>
        <w:instrText xml:space="preserve"> REF _Ref149742967 \w \h </w:instrText>
      </w:r>
      <w:r w:rsidR="0058598E">
        <w:rPr>
          <w:u w:val="single"/>
        </w:rPr>
      </w:r>
      <w:r w:rsidR="0058598E">
        <w:rPr>
          <w:u w:val="single"/>
        </w:rPr>
        <w:fldChar w:fldCharType="separate"/>
      </w:r>
      <w:r w:rsidR="0058598E">
        <w:rPr>
          <w:u w:val="single"/>
        </w:rPr>
        <w:t>20.18</w:t>
      </w:r>
      <w:r w:rsidR="0058598E">
        <w:rPr>
          <w:u w:val="single"/>
        </w:rPr>
        <w:fldChar w:fldCharType="end"/>
      </w:r>
      <w:r>
        <w:t>.</w:t>
      </w:r>
    </w:p>
    <w:p w14:paraId="4A914848" w14:textId="77777777" w:rsidR="00B63F33" w:rsidRDefault="00B63F33" w:rsidP="002B7809">
      <w:pPr>
        <w:pStyle w:val="ArticleL3"/>
      </w:pPr>
      <w:r>
        <w:t xml:space="preserve">Throughout the Term, Seller promptly shall </w:t>
      </w:r>
    </w:p>
    <w:p w14:paraId="428EC554" w14:textId="77777777" w:rsidR="00B63F33" w:rsidRDefault="00B63F33" w:rsidP="002B7809">
      <w:pPr>
        <w:pStyle w:val="ArticleL4"/>
      </w:pPr>
      <w:r>
        <w:t xml:space="preserve">disclose to Company and remediate, at Seller’s sole cost and expense, any Environmental Contamination identified at the </w:t>
      </w:r>
      <w:proofErr w:type="gramStart"/>
      <w:r>
        <w:t>Site;</w:t>
      </w:r>
      <w:proofErr w:type="gramEnd"/>
      <w:r>
        <w:t xml:space="preserve"> </w:t>
      </w:r>
    </w:p>
    <w:p w14:paraId="7A34F2D1" w14:textId="77777777" w:rsidR="00B63F33" w:rsidRDefault="00B63F33" w:rsidP="002B7809">
      <w:pPr>
        <w:pStyle w:val="ArticleL4"/>
      </w:pPr>
      <w:r>
        <w:t>provide to Company copies of any further environmental assessments or investigations of the Site (including associated raw data, if requested by Company);  and</w:t>
      </w:r>
    </w:p>
    <w:p w14:paraId="5C542AD1" w14:textId="77777777" w:rsidR="00B63F33" w:rsidRDefault="00B63F33" w:rsidP="002B7809">
      <w:pPr>
        <w:pStyle w:val="ArticleL4"/>
      </w:pPr>
      <w:r>
        <w:t>disclose to Company the existence of any enforcement, legal, or regulatory action or proceeding relating to any alleged presence of Environmental Contamination and/or the alleged violation of any Applicable Law related to protection of human health, the environment, or natural resources including protected species.</w:t>
      </w:r>
    </w:p>
    <w:p w14:paraId="23FB8D89" w14:textId="77777777" w:rsidR="00B63F33" w:rsidRDefault="00B63F33" w:rsidP="002B7809">
      <w:pPr>
        <w:pStyle w:val="ArticleL3"/>
      </w:pPr>
      <w:bookmarkStart w:id="63" w:name="_Ref149809910"/>
      <w:r>
        <w:t>For purposes hereof:</w:t>
      </w:r>
      <w:bookmarkEnd w:id="63"/>
    </w:p>
    <w:p w14:paraId="0471930B" w14:textId="77777777" w:rsidR="00B63F33" w:rsidRDefault="00B63F33" w:rsidP="002B7809">
      <w:pPr>
        <w:pStyle w:val="ArticleL4"/>
      </w:pPr>
      <w:r>
        <w:t>“</w:t>
      </w:r>
      <w:r>
        <w:rPr>
          <w:u w:val="single"/>
        </w:rPr>
        <w:t>Environmental Contamination</w:t>
      </w:r>
      <w:r>
        <w:t>” means the introduction or presence of Hazardous Materials at such levels, quantities or location, or of such form or character, that (i) requires remediation under Applicable Law, (ii) present a material risk that the Site will not be available or usable for the purposes contemplated by this PPA, and/or (iii) will preclude or interfere with Seller’s ability to perform its obligations under this PPA as and when due.</w:t>
      </w:r>
    </w:p>
    <w:p w14:paraId="1422D169" w14:textId="77777777" w:rsidR="00B63F33" w:rsidRDefault="00B63F33" w:rsidP="002B7809">
      <w:pPr>
        <w:pStyle w:val="ArticleL4"/>
      </w:pPr>
      <w:r>
        <w:t>“</w:t>
      </w:r>
      <w:r>
        <w:rPr>
          <w:u w:val="single"/>
        </w:rPr>
        <w:t>Hazardous Materials</w:t>
      </w:r>
      <w:r>
        <w:t xml:space="preserve">” means any substance, contaminant, chemical, material, gas, or particulate matter that is regulated by any Governmental Authority as an environmental pollutant or which is deemed or may be deemed hazardous, dangerous, damaging or toxic to public health, public welfare, or the natural environment (including protection of non-human forms of life, land, water, groundwater, and air), including any material or substance that is (i) defined as “toxic,” “polluting,” “hazardous waste,” “hazardous material,” “hazardous substance,” “extremely hazardous waste,” “solid waste” or “restricted hazardous waste” under any provision of Applicable Law; (ii) petroleum, including </w:t>
      </w:r>
      <w:r>
        <w:lastRenderedPageBreak/>
        <w:t xml:space="preserve">any fraction, derivative or additive; (iii) asbestos; (iv) polychlorinated biphenyls; (v) per- and </w:t>
      </w:r>
      <w:proofErr w:type="spellStart"/>
      <w:r>
        <w:t>polyfluoroalky</w:t>
      </w:r>
      <w:proofErr w:type="spellEnd"/>
      <w:r>
        <w:t xml:space="preserve"> substances (vi) radioactive material; (vii) designated as a “hazardous substance” pursuant to the Clean Water Act, 33 U.S.C. §1251 </w:t>
      </w:r>
      <w:r>
        <w:rPr>
          <w:i/>
        </w:rPr>
        <w:t>et seq.</w:t>
      </w:r>
      <w:r>
        <w:t xml:space="preserve"> (33 U.S.C. §1251); (viii) defined as a “hazardous waste” pursuant to the Resource Conservation and Recovery Act, 42 U.S.C. §6901 </w:t>
      </w:r>
      <w:r>
        <w:rPr>
          <w:i/>
        </w:rPr>
        <w:t>et seq.</w:t>
      </w:r>
      <w:r>
        <w:t xml:space="preserve"> (42 U.S.C. §6901); (ix) defined as a “hazardous substance” pursuant to the Comprehensive Environmental Response, Compensation, and Liability Act, 42 U.S.C. §9601 </w:t>
      </w:r>
      <w:r>
        <w:rPr>
          <w:i/>
        </w:rPr>
        <w:t>et seq.</w:t>
      </w:r>
      <w:r>
        <w:t xml:space="preserve"> (42 U.S.C. §9601); (x) defined as a “chemical substance” under the Toxic Substances Control Act, 15 U.S.C. §2601 </w:t>
      </w:r>
      <w:r>
        <w:rPr>
          <w:i/>
        </w:rPr>
        <w:t>et seq.</w:t>
      </w:r>
      <w:r>
        <w:t xml:space="preserve"> (15 U.S.C. §2601); or (xi) defined as a pesticide under the Federal Insecticide, Fungicide, and Rodenticide Act, 7 U.S.C. §136 </w:t>
      </w:r>
      <w:r>
        <w:rPr>
          <w:i/>
        </w:rPr>
        <w:t>et seq.</w:t>
      </w:r>
      <w:r>
        <w:t xml:space="preserve"> (7 U.S.C. §136).</w:t>
      </w:r>
    </w:p>
    <w:p w14:paraId="16C85667" w14:textId="5286588D" w:rsidR="00B63F33" w:rsidRDefault="00B63F33" w:rsidP="002B7809">
      <w:pPr>
        <w:pStyle w:val="ArticleL2"/>
      </w:pPr>
      <w:bookmarkStart w:id="64" w:name="_Toc147494839"/>
      <w:bookmarkStart w:id="65" w:name="_Toc433953964"/>
      <w:bookmarkStart w:id="66" w:name="_Toc433954122"/>
      <w:bookmarkStart w:id="67" w:name="_Ref149810918"/>
      <w:r w:rsidRPr="004F6DE4">
        <w:rPr>
          <w:rStyle w:val="ArticleL2UnderlineChar"/>
        </w:rPr>
        <w:t>Permits</w:t>
      </w:r>
      <w:bookmarkEnd w:id="64"/>
      <w:r>
        <w:rPr>
          <w:i/>
        </w:rPr>
        <w:t>.</w:t>
      </w:r>
      <w:bookmarkEnd w:id="65"/>
      <w:bookmarkEnd w:id="66"/>
      <w:bookmarkEnd w:id="67"/>
    </w:p>
    <w:p w14:paraId="1EA77C2C" w14:textId="5AEC8766" w:rsidR="00B63F33" w:rsidRDefault="00B63F33" w:rsidP="002B7809">
      <w:pPr>
        <w:pStyle w:val="ArticleL3"/>
      </w:pPr>
      <w:r>
        <w:t>Seller shall obtain and pay for all Permits necessary under Applicable Law or advisable pursuant to Good Utility Practice for the construction, ownership, operation and maintenance of the Facility and the generation and delivery of the products and services required by this PPA.  Seller shall keep Company informed as to the status of its permitting efforts and shall provide Company the opportunity to review and comment on major applications for draft and final Permits.  Seller shall promptly inform Company of (i) any Permits that Seller is unable to obtain, which are delayed, limited, suspended, terminated or otherwise constrained, along with a statement of whether and to what extent this circumstance may limit or preclude Seller’s ability to perform under this PPA, and (ii) Seller’s plan to overcome such issue(s) to allow Seller to perform this PPA as and when due.  Company shall have the right to inspect and obtain copies of all Permits held by Seller.</w:t>
      </w:r>
    </w:p>
    <w:p w14:paraId="1A5353CB" w14:textId="7B252B30" w:rsidR="00B63F33" w:rsidRDefault="00B63F33" w:rsidP="002B7809">
      <w:pPr>
        <w:pStyle w:val="ArticleL3"/>
      </w:pPr>
      <w:r>
        <w:t xml:space="preserve">Seller represents and warrants to Company that, except for those Permits identified in </w:t>
      </w:r>
      <w:r w:rsidR="009076E2" w:rsidRPr="009076E2">
        <w:rPr>
          <w:u w:val="single"/>
        </w:rPr>
        <w:t>Exhibit F - Seller’s Needed Permits</w:t>
      </w:r>
      <w:r>
        <w:t xml:space="preserve"> (each of which Seller anticipates will be obtained by Seller in the ordinary course of business), all Permits and other actions required or recommended by applicable Governmental Authorities to authorize Seller’s execution, delivery and performance of this PPA</w:t>
      </w:r>
      <w:r w:rsidRPr="00111A7E">
        <w:t xml:space="preserve"> </w:t>
      </w:r>
      <w:bookmarkStart w:id="68" w:name="_cp_change_6"/>
      <w:r w:rsidR="00B7799D" w:rsidRPr="00111A7E">
        <w:rPr>
          <w:strike/>
          <w:u w:color="FF0000"/>
        </w:rPr>
        <w:t>[</w:t>
      </w:r>
      <w:bookmarkEnd w:id="68"/>
      <w:r w:rsidRPr="00111A7E">
        <w:rPr>
          <w:highlight w:val="yellow"/>
        </w:rPr>
        <w:t>wind</w:t>
      </w:r>
      <w:r w:rsidRPr="00111A7E">
        <w:t xml:space="preserve"> </w:t>
      </w:r>
      <w:r>
        <w:t xml:space="preserve">including Permits with respect to protected species) have been duly obtained and are in full force and effect. </w:t>
      </w:r>
    </w:p>
    <w:p w14:paraId="09C241E1" w14:textId="3F133A42" w:rsidR="00B63F33" w:rsidRDefault="00B63F33" w:rsidP="002B7809">
      <w:pPr>
        <w:pStyle w:val="ArticleL3"/>
      </w:pPr>
      <w:r>
        <w:t>Throughout the Term, Seller shall promptly disclose to Company the existence of any enforcement, legal, or regulatory action or proceeding relating to the alleged violation of any Permit held by Seller, which proceeding (if successful) could materially interfere with Seller’s performance of this PPA.</w:t>
      </w:r>
    </w:p>
    <w:p w14:paraId="7C6611E0" w14:textId="4F02E6A2" w:rsidR="00B63F33" w:rsidRDefault="00B63F33" w:rsidP="002B7809">
      <w:pPr>
        <w:pStyle w:val="ArticleL3"/>
      </w:pPr>
      <w:r>
        <w:t>For purposes hereof, “</w:t>
      </w:r>
      <w:r>
        <w:rPr>
          <w:u w:val="single"/>
        </w:rPr>
        <w:t>Permits</w:t>
      </w:r>
      <w:r>
        <w:t>” means all applicable licenses, permits, certificates of authority, authorizations, approvals, registrations, and similar consents and orders issued or granted by a Governmental Authority for construction, ownership, operation and maintenance of the Facility and the generation and delivery of Renewable Energy therefrom.</w:t>
      </w:r>
    </w:p>
    <w:p w14:paraId="1B85F708" w14:textId="113E72EE" w:rsidR="00B63F33" w:rsidRDefault="00921D24" w:rsidP="004F6DE4">
      <w:pPr>
        <w:pStyle w:val="ArticleL2"/>
      </w:pPr>
      <w:bookmarkStart w:id="69" w:name="_Toc147494840"/>
      <w:bookmarkStart w:id="70" w:name="_Toc433953965"/>
      <w:bookmarkStart w:id="71" w:name="_Toc433954123"/>
      <w:r w:rsidRPr="004F6DE4">
        <w:rPr>
          <w:rStyle w:val="ArticleL2UnderlineChar"/>
        </w:rPr>
        <w:t>Safety Requirements; Governmental Inspections</w:t>
      </w:r>
      <w:bookmarkEnd w:id="69"/>
      <w:r>
        <w:rPr>
          <w:i/>
        </w:rPr>
        <w:t>.</w:t>
      </w:r>
      <w:bookmarkEnd w:id="55"/>
      <w:r>
        <w:t xml:space="preserve">  </w:t>
      </w:r>
      <w:r w:rsidR="00A609CA">
        <w:t xml:space="preserve">Seller shall, and shall cause its Affiliates and contractors to, design and construct the Facility and conduct all work or cause all work in connection therewith to be conducted in accordance with </w:t>
      </w:r>
      <w:r w:rsidR="000E4265" w:rsidRPr="000E4265">
        <w:rPr>
          <w:u w:val="single"/>
        </w:rPr>
        <w:t xml:space="preserve">Exhibit </w:t>
      </w:r>
      <w:r w:rsidR="000E4265">
        <w:rPr>
          <w:u w:val="single"/>
        </w:rPr>
        <w:t>N</w:t>
      </w:r>
      <w:r w:rsidR="000E4265" w:rsidRPr="000E4265">
        <w:rPr>
          <w:u w:val="single"/>
        </w:rPr>
        <w:t xml:space="preserve"> - Safety Requirements</w:t>
      </w:r>
      <w:r w:rsidR="00A609CA">
        <w:t xml:space="preserve">.  Seller shall, and shall cause its Affiliates and contractors to, </w:t>
      </w:r>
      <w:r w:rsidR="00A609CA">
        <w:lastRenderedPageBreak/>
        <w:t xml:space="preserve">take all actions to comply with </w:t>
      </w:r>
      <w:r w:rsidR="000E4265" w:rsidRPr="000E4265">
        <w:rPr>
          <w:u w:val="single"/>
        </w:rPr>
        <w:t xml:space="preserve">Exhibit </w:t>
      </w:r>
      <w:r w:rsidR="000E4265">
        <w:rPr>
          <w:u w:val="single"/>
        </w:rPr>
        <w:t>N</w:t>
      </w:r>
      <w:r w:rsidR="000E4265" w:rsidRPr="000E4265">
        <w:rPr>
          <w:u w:val="single"/>
        </w:rPr>
        <w:t xml:space="preserve"> - Safety Requirements</w:t>
      </w:r>
      <w:r w:rsidR="00A609CA">
        <w:t>. Seller shall notify Company (i) sufficiently in advance of any known upcoming significant inspections by any Governmental Authority relating to the Facility, to allow Company the opportunity to attend, and (ii) promptly after any unscheduled or impromptu inspection with a description of the nature and outcome of such inspection.</w:t>
      </w:r>
      <w:bookmarkEnd w:id="70"/>
      <w:bookmarkEnd w:id="71"/>
    </w:p>
    <w:p w14:paraId="7D62A6C6" w14:textId="02B41CBA" w:rsidR="00B63F33" w:rsidRDefault="00B63F33" w:rsidP="002B7809">
      <w:pPr>
        <w:pStyle w:val="ArticleL2"/>
      </w:pPr>
      <w:bookmarkStart w:id="72" w:name="_Toc147494841"/>
      <w:bookmarkStart w:id="73" w:name="_Toc433953966"/>
      <w:bookmarkStart w:id="74" w:name="_Toc433954124"/>
      <w:bookmarkStart w:id="75" w:name="_Toc288027247"/>
      <w:r w:rsidRPr="004F6DE4">
        <w:rPr>
          <w:rStyle w:val="ArticleL2UnderlineChar"/>
        </w:rPr>
        <w:t>Commercial Operation</w:t>
      </w:r>
      <w:bookmarkEnd w:id="72"/>
      <w:r>
        <w:t>.</w:t>
      </w:r>
      <w:bookmarkEnd w:id="73"/>
      <w:bookmarkEnd w:id="74"/>
      <w:r>
        <w:t xml:space="preserve">  </w:t>
      </w:r>
    </w:p>
    <w:p w14:paraId="4CA4F4F6" w14:textId="77777777" w:rsidR="00B63F33" w:rsidRDefault="00B63F33" w:rsidP="002B7809">
      <w:pPr>
        <w:pStyle w:val="ArticleL3"/>
      </w:pPr>
      <w:bookmarkStart w:id="76" w:name="_Ref149811758"/>
      <w:r>
        <w:t>Seller shall cause COD to occur no later than [</w:t>
      </w:r>
      <w:r>
        <w:rPr>
          <w:highlight w:val="yellow"/>
        </w:rPr>
        <w:t>_______,</w:t>
      </w:r>
      <w:r>
        <w:t xml:space="preserve"> 20</w:t>
      </w:r>
      <w:r>
        <w:rPr>
          <w:highlight w:val="yellow"/>
        </w:rPr>
        <w:t>__</w:t>
      </w:r>
      <w:r>
        <w:t>] (the “</w:t>
      </w:r>
      <w:r>
        <w:rPr>
          <w:u w:val="single"/>
        </w:rPr>
        <w:t>Target COD</w:t>
      </w:r>
      <w:r>
        <w:t>”).  Company shall not be obligated to accept and establish a Commercial Operation Date earlier than [</w:t>
      </w:r>
      <w:r>
        <w:rPr>
          <w:highlight w:val="yellow"/>
        </w:rPr>
        <w:t>_______,</w:t>
      </w:r>
      <w:r>
        <w:t xml:space="preserve"> 20</w:t>
      </w:r>
      <w:r>
        <w:rPr>
          <w:highlight w:val="yellow"/>
        </w:rPr>
        <w:t>__</w:t>
      </w:r>
      <w:r>
        <w:t>] [</w:t>
      </w:r>
      <w:r>
        <w:rPr>
          <w:b/>
          <w:i/>
          <w:color w:val="FF0000"/>
          <w:sz w:val="20"/>
          <w:highlight w:val="yellow"/>
        </w:rPr>
        <w:t>insert date that is 90 days prior to Target COD</w:t>
      </w:r>
      <w:r>
        <w:rPr>
          <w:b/>
          <w:i/>
          <w:sz w:val="20"/>
        </w:rPr>
        <w:t>]</w:t>
      </w:r>
      <w:r>
        <w:t>.</w:t>
      </w:r>
      <w:bookmarkEnd w:id="76"/>
    </w:p>
    <w:p w14:paraId="6F566518" w14:textId="77777777" w:rsidR="00B63F33" w:rsidRDefault="00B63F33" w:rsidP="002B7809">
      <w:pPr>
        <w:pStyle w:val="ArticleL3"/>
      </w:pPr>
      <w:bookmarkStart w:id="77" w:name="_Ref149743015"/>
      <w:r>
        <w:t>Seller shall notify Company of the date on which Seller believes the Facility has achieved Commercial Operation (a “</w:t>
      </w:r>
      <w:r>
        <w:rPr>
          <w:u w:val="single"/>
        </w:rPr>
        <w:t>COD Notice</w:t>
      </w:r>
      <w:r>
        <w:t xml:space="preserve">”).  A COD Notice shall include all necessary supporting documentation of the satisfaction or occurrence of all COD Conditions.  Company shall have ten (10) Business Days to review a COD Notice and raise any Commercially Reasonable objection to Seller’s satisfaction of any of the COD Conditions, </w:t>
      </w:r>
      <w:r>
        <w:rPr>
          <w:i/>
        </w:rPr>
        <w:t>provided, however</w:t>
      </w:r>
      <w:r>
        <w:t xml:space="preserve">, that Seller’s COD Notice shall be </w:t>
      </w:r>
      <w:proofErr w:type="gramStart"/>
      <w:r>
        <w:t>deemed</w:t>
      </w:r>
      <w:proofErr w:type="gramEnd"/>
      <w:r>
        <w:t xml:space="preserve"> accepted by Company if Company fails to object within such time period.  Seller may notify Company of completion of one or more COD Conditions on an individual and incremental basis prior to COD, </w:t>
      </w:r>
      <w:r>
        <w:rPr>
          <w:i/>
        </w:rPr>
        <w:t xml:space="preserve">provided, however, </w:t>
      </w:r>
      <w:r>
        <w:t>that Company shall in all cases have up to ten (10) Business Days to review and object to each such notice.</w:t>
      </w:r>
      <w:bookmarkEnd w:id="77"/>
      <w:r>
        <w:t xml:space="preserve"> </w:t>
      </w:r>
    </w:p>
    <w:p w14:paraId="607140DA" w14:textId="77777777" w:rsidR="00B63F33" w:rsidRDefault="00B63F33" w:rsidP="002B7809">
      <w:pPr>
        <w:pStyle w:val="ArticleL3"/>
      </w:pPr>
      <w:r>
        <w:t>For purposes hereof:</w:t>
      </w:r>
    </w:p>
    <w:p w14:paraId="73D1E434" w14:textId="0C092B50" w:rsidR="00B63F33" w:rsidRPr="00453188" w:rsidRDefault="00B63F33" w:rsidP="002B7809">
      <w:pPr>
        <w:pStyle w:val="ArticleL4"/>
      </w:pPr>
      <w:bookmarkStart w:id="78" w:name="_Ref149809337"/>
      <w:r>
        <w:t>the “</w:t>
      </w:r>
      <w:r>
        <w:rPr>
          <w:u w:val="single"/>
        </w:rPr>
        <w:t>Commercial Operation Date</w:t>
      </w:r>
      <w:r>
        <w:t>” or “</w:t>
      </w:r>
      <w:r>
        <w:rPr>
          <w:u w:val="single"/>
        </w:rPr>
        <w:t>COD</w:t>
      </w:r>
      <w:r>
        <w:t xml:space="preserve">” means 12:01 am on the Day after which Seller’s COD Notice has been accepted by Company or </w:t>
      </w:r>
      <w:proofErr w:type="gramStart"/>
      <w:r>
        <w:t>deemed</w:t>
      </w:r>
      <w:proofErr w:type="gramEnd"/>
      <w:r>
        <w:t xml:space="preserve"> accepted by Company pursuant to </w:t>
      </w:r>
      <w:r>
        <w:rPr>
          <w:u w:val="single"/>
        </w:rPr>
        <w:t xml:space="preserve">Section </w:t>
      </w:r>
      <w:r w:rsidR="0058598E">
        <w:rPr>
          <w:u w:val="single"/>
        </w:rPr>
        <w:fldChar w:fldCharType="begin"/>
      </w:r>
      <w:r w:rsidR="0058598E">
        <w:rPr>
          <w:u w:val="single"/>
        </w:rPr>
        <w:instrText xml:space="preserve"> REF _Ref149743015 \w \h </w:instrText>
      </w:r>
      <w:r w:rsidR="0058598E">
        <w:rPr>
          <w:u w:val="single"/>
        </w:rPr>
      </w:r>
      <w:r w:rsidR="0058598E">
        <w:rPr>
          <w:u w:val="single"/>
        </w:rPr>
        <w:fldChar w:fldCharType="separate"/>
      </w:r>
      <w:r w:rsidR="0058598E">
        <w:rPr>
          <w:u w:val="single"/>
        </w:rPr>
        <w:t>4.5(B)</w:t>
      </w:r>
      <w:r w:rsidR="0058598E">
        <w:rPr>
          <w:u w:val="single"/>
        </w:rPr>
        <w:fldChar w:fldCharType="end"/>
      </w:r>
      <w:r>
        <w:t>; and</w:t>
      </w:r>
      <w:bookmarkEnd w:id="78"/>
    </w:p>
    <w:p w14:paraId="562C8624" w14:textId="2D0B3D3E" w:rsidR="00B63F33" w:rsidRDefault="00136F78" w:rsidP="002B7809">
      <w:pPr>
        <w:pStyle w:val="ArticleL4"/>
      </w:pPr>
      <w:r>
        <w:t xml:space="preserve"> </w:t>
      </w:r>
      <w:bookmarkStart w:id="79" w:name="_Ref149809282"/>
      <w:r>
        <w:t>the “COD Conditions” are:</w:t>
      </w:r>
      <w:bookmarkEnd w:id="79"/>
    </w:p>
    <w:p w14:paraId="0522F89C" w14:textId="77777777" w:rsidR="00B63F33" w:rsidRDefault="00B63F33" w:rsidP="00B2547C">
      <w:pPr>
        <w:pStyle w:val="ArticleL5"/>
      </w:pPr>
      <w:r>
        <w:t xml:space="preserve">an officer of Seller, authorized to bind Seller and who is familiar with the Facility, has confirmed in writing that (1) all necessary and material Permits have been obtained, are in full force and effect and the entity granting the Permit has not placed any </w:t>
      </w:r>
      <w:bookmarkStart w:id="80" w:name="_Hlk47086951"/>
      <w:r>
        <w:t xml:space="preserve">temporary or conditional </w:t>
      </w:r>
      <w:bookmarkEnd w:id="80"/>
      <w:r>
        <w:t>restrictions or limitations on the Facility or its operation, (2) Seller is in compliance with this PPA in all material respects, (3) Seller has made all necessary arrangements to obtain and pay the Local Provider for House Power, and (4) the Facility is available to commence normal operations in accordance with Seller’s operating agreements, Construction Contracts, and applicable manufacturers’ warranties;</w:t>
      </w:r>
    </w:p>
    <w:p w14:paraId="51C7AB4F" w14:textId="5ACCFF35" w:rsidR="00E33598" w:rsidRDefault="00E33598" w:rsidP="002B7809">
      <w:pPr>
        <w:pStyle w:val="ArticleL5"/>
      </w:pPr>
      <w:r>
        <w:t>Seller has proven to Company’s reasonable satisfaction that (1) Seller and the Transmission Authority have executed the Interconnection Agreement, and Seller has received no notice of breach thereof from the Transmission Authority, (2) the Facility is interconnected to the Transmission Authority’s System, and has been fully tested, achieved initial synchronization, and been successfully operated at a generation level acceptable to the Transmission Authority, without experiencing any abnormal or unsafe operating conditions on any interconnected system</w:t>
      </w:r>
      <w:r w:rsidRPr="00932028">
        <w:t xml:space="preserve">, (3) </w:t>
      </w:r>
      <w:r w:rsidRPr="00932028">
        <w:lastRenderedPageBreak/>
        <w:t xml:space="preserve">Seller has or is capable of declaring commercial </w:t>
      </w:r>
      <w:r>
        <w:t>operation under the Interconnection Agreement] and (4) Seller has made all other arrangements necessary to deliver Renewable Energy during the Term;</w:t>
      </w:r>
    </w:p>
    <w:p w14:paraId="34679754" w14:textId="5CE4B7E5" w:rsidR="00B63F33" w:rsidRDefault="00B63F33" w:rsidP="002B7809">
      <w:pPr>
        <w:pStyle w:val="ArticleL5"/>
      </w:pPr>
      <w:bookmarkStart w:id="81" w:name="_Hlk46900965"/>
      <w:r>
        <w:t>Seller has obtained and provided to Company an independent registered professional engineer’s certification stating that the Facility has been completed in all material respects, except for “punch list” items that do not have a Material Adverse Effect on the ability of the Facility to operate for its intended purpose and are not required for the safe operation of the Facility or otherwise affect the Capacity, efficiency, reliability, operability, safety or mechanical or electrical integrity of the Facility</w:t>
      </w:r>
      <w:bookmarkEnd w:id="81"/>
      <w:r>
        <w:t>;</w:t>
      </w:r>
    </w:p>
    <w:p w14:paraId="052553D3" w14:textId="4470E171" w:rsidR="00B63F33" w:rsidRDefault="00B63F33" w:rsidP="002B7809">
      <w:pPr>
        <w:pStyle w:val="ArticleL5"/>
      </w:pPr>
      <w:bookmarkStart w:id="82" w:name="_Hlk47092351"/>
      <w:r>
        <w:t xml:space="preserve">Seller has demonstrated the functionality and reliability of the Facility’s communications systems and AGC interface with Company’s EMCC, the capability of the Facility to receive and respond to signals from Company’s SCADA </w:t>
      </w:r>
      <w:proofErr w:type="gramStart"/>
      <w:r>
        <w:t>System</w:t>
      </w:r>
      <w:bookmarkEnd w:id="82"/>
      <w:r>
        <w:t>;</w:t>
      </w:r>
      <w:proofErr w:type="gramEnd"/>
    </w:p>
    <w:p w14:paraId="040D851F" w14:textId="77777777" w:rsidR="00B63F33" w:rsidRDefault="00B63F33" w:rsidP="002B7809">
      <w:pPr>
        <w:pStyle w:val="ArticleL5"/>
      </w:pPr>
      <w:r>
        <w:t xml:space="preserve"> [</w:t>
      </w:r>
      <w:r>
        <w:rPr>
          <w:highlight w:val="yellow"/>
        </w:rPr>
        <w:t>Wind Turbines</w:t>
      </w:r>
      <w:r>
        <w:t>] [</w:t>
      </w:r>
      <w:r>
        <w:rPr>
          <w:highlight w:val="yellow"/>
        </w:rPr>
        <w:t>Solar Units</w:t>
      </w:r>
      <w:r>
        <w:t>] comprising not more or less than one hundred percent (100%) of the Nameplate Capacity of the Facility, and associated equipment sufficient to allow such [</w:t>
      </w:r>
      <w:r>
        <w:rPr>
          <w:highlight w:val="yellow"/>
        </w:rPr>
        <w:t>Wind Turbines</w:t>
      </w:r>
      <w:r>
        <w:t>] [</w:t>
      </w:r>
      <w:r>
        <w:rPr>
          <w:highlight w:val="yellow"/>
        </w:rPr>
        <w:t>Solar Units</w:t>
      </w:r>
      <w:r>
        <w:t xml:space="preserve">] to generate and deliver Renewable Energy to the Point of Delivery have been installed and become </w:t>
      </w:r>
      <w:proofErr w:type="gramStart"/>
      <w:r>
        <w:t>operable;</w:t>
      </w:r>
      <w:proofErr w:type="gramEnd"/>
    </w:p>
    <w:p w14:paraId="6777334A" w14:textId="48A54EDB" w:rsidR="00B63F33" w:rsidRDefault="00B63F33" w:rsidP="00B525E8">
      <w:pPr>
        <w:pStyle w:val="ArticleL5"/>
        <w:keepNext w:val="0"/>
      </w:pPr>
      <w:bookmarkStart w:id="83" w:name="_Hlk36899330"/>
      <w:bookmarkStart w:id="84" w:name="_Hlk47092411"/>
      <w:r>
        <w:t xml:space="preserve">Seller has demonstrated the accuracy and reliability of the Real Time Data, including Park Potential required by </w:t>
      </w:r>
      <w:r>
        <w:rPr>
          <w:u w:val="single"/>
        </w:rPr>
        <w:t xml:space="preserve">Section </w:t>
      </w:r>
      <w:r w:rsidR="0058598E">
        <w:rPr>
          <w:u w:val="single"/>
        </w:rPr>
        <w:fldChar w:fldCharType="begin"/>
      </w:r>
      <w:r w:rsidR="0058598E">
        <w:rPr>
          <w:u w:val="single"/>
        </w:rPr>
        <w:instrText xml:space="preserve"> REF _Ref149743031 \w \h </w:instrText>
      </w:r>
      <w:r w:rsidR="0058598E">
        <w:rPr>
          <w:u w:val="single"/>
        </w:rPr>
      </w:r>
      <w:r w:rsidR="0058598E">
        <w:rPr>
          <w:u w:val="single"/>
        </w:rPr>
        <w:fldChar w:fldCharType="separate"/>
      </w:r>
      <w:r w:rsidR="0058598E">
        <w:rPr>
          <w:u w:val="single"/>
        </w:rPr>
        <w:t>10.5</w:t>
      </w:r>
      <w:r w:rsidR="0058598E">
        <w:rPr>
          <w:u w:val="single"/>
        </w:rPr>
        <w:fldChar w:fldCharType="end"/>
      </w:r>
      <w:r>
        <w:t xml:space="preserve"> and completed a comprehensive check of the AGC data points to be sent from Seller to Company via the SCADA System to the Company’s satisfaction, all in accordance with </w:t>
      </w:r>
      <w:r w:rsidR="000E4265" w:rsidRPr="009076E2">
        <w:rPr>
          <w:u w:val="single"/>
        </w:rPr>
        <w:t>Exhibit I - A</w:t>
      </w:r>
      <w:r w:rsidR="000E4265">
        <w:rPr>
          <w:u w:val="single"/>
        </w:rPr>
        <w:t>GC</w:t>
      </w:r>
      <w:r w:rsidR="000E4265" w:rsidRPr="009076E2">
        <w:rPr>
          <w:u w:val="single"/>
        </w:rPr>
        <w:t xml:space="preserve"> Protocols; Data Collection; Availability Reporting</w:t>
      </w:r>
      <w:r>
        <w:t>;</w:t>
      </w:r>
    </w:p>
    <w:p w14:paraId="06BD7613" w14:textId="7477606A" w:rsidR="00103A0C" w:rsidRDefault="000D1BA7" w:rsidP="002B7809">
      <w:pPr>
        <w:pStyle w:val="ArticleL5"/>
      </w:pPr>
      <w:r>
        <w:t xml:space="preserve">Seller has demonstrated the accuracy of the electric Metering Devices and their ability to communicate with the Company in accordance with </w:t>
      </w:r>
      <w:r w:rsidR="000E4265" w:rsidRPr="000E4265">
        <w:rPr>
          <w:u w:val="single"/>
        </w:rPr>
        <w:t xml:space="preserve">Exhibit </w:t>
      </w:r>
      <w:r w:rsidR="000E4265">
        <w:rPr>
          <w:u w:val="single"/>
        </w:rPr>
        <w:t>O</w:t>
      </w:r>
      <w:r w:rsidR="000E4265" w:rsidRPr="000E4265">
        <w:rPr>
          <w:u w:val="single"/>
        </w:rPr>
        <w:t xml:space="preserve"> - Meter </w:t>
      </w:r>
      <w:r w:rsidR="000E4265">
        <w:rPr>
          <w:u w:val="single"/>
        </w:rPr>
        <w:t>a</w:t>
      </w:r>
      <w:r w:rsidR="000E4265" w:rsidRPr="000E4265">
        <w:rPr>
          <w:u w:val="single"/>
        </w:rPr>
        <w:t xml:space="preserve">nd Communications </w:t>
      </w:r>
      <w:proofErr w:type="gramStart"/>
      <w:r w:rsidR="000E4265" w:rsidRPr="000E4265">
        <w:rPr>
          <w:u w:val="single"/>
        </w:rPr>
        <w:t>Requirements</w:t>
      </w:r>
      <w:r>
        <w:t>;</w:t>
      </w:r>
      <w:proofErr w:type="gramEnd"/>
    </w:p>
    <w:p w14:paraId="62F781AF" w14:textId="7E36E730" w:rsidR="00B63F33" w:rsidRDefault="00B63F33" w:rsidP="002B7809">
      <w:pPr>
        <w:pStyle w:val="ArticleL5"/>
      </w:pPr>
      <w:r>
        <w:t xml:space="preserve">Seller has demonstrated the ability to fulfill the forecasting requirements including the usage of the </w:t>
      </w:r>
      <w:r>
        <w:rPr>
          <w:bCs/>
        </w:rPr>
        <w:t>availability forecast system</w:t>
      </w:r>
      <w:r>
        <w:t xml:space="preserve"> as described in </w:t>
      </w:r>
      <w:r w:rsidR="000E4265" w:rsidRPr="009076E2">
        <w:rPr>
          <w:u w:val="single"/>
        </w:rPr>
        <w:t>Exhibit I - A</w:t>
      </w:r>
      <w:r w:rsidR="000E4265">
        <w:rPr>
          <w:u w:val="single"/>
        </w:rPr>
        <w:t>GC</w:t>
      </w:r>
      <w:r w:rsidR="000E4265" w:rsidRPr="009076E2">
        <w:rPr>
          <w:u w:val="single"/>
        </w:rPr>
        <w:t xml:space="preserve"> Protocols; Data Collection; Availability </w:t>
      </w:r>
      <w:proofErr w:type="gramStart"/>
      <w:r w:rsidR="000E4265" w:rsidRPr="009076E2">
        <w:rPr>
          <w:u w:val="single"/>
        </w:rPr>
        <w:t>Reporting</w:t>
      </w:r>
      <w:r>
        <w:t>;</w:t>
      </w:r>
      <w:bookmarkEnd w:id="83"/>
      <w:proofErr w:type="gramEnd"/>
    </w:p>
    <w:p w14:paraId="2F2D026D" w14:textId="0FE98512" w:rsidR="004D391B" w:rsidRDefault="004D391B" w:rsidP="002B7809">
      <w:pPr>
        <w:pStyle w:val="ArticleL5"/>
      </w:pPr>
      <w:r>
        <w:t xml:space="preserve">Seller has provided to Company all documentation submitted consistent with </w:t>
      </w:r>
      <w:r w:rsidR="000E4265" w:rsidRPr="000E4265">
        <w:rPr>
          <w:u w:val="single"/>
        </w:rPr>
        <w:t xml:space="preserve">Exhibit </w:t>
      </w:r>
      <w:r w:rsidR="000E4265">
        <w:rPr>
          <w:u w:val="single"/>
        </w:rPr>
        <w:t>N</w:t>
      </w:r>
      <w:r w:rsidR="000E4265" w:rsidRPr="000E4265">
        <w:rPr>
          <w:u w:val="single"/>
        </w:rPr>
        <w:t xml:space="preserve"> - Safety </w:t>
      </w:r>
      <w:proofErr w:type="gramStart"/>
      <w:r w:rsidR="000E4265" w:rsidRPr="000E4265">
        <w:rPr>
          <w:u w:val="single"/>
        </w:rPr>
        <w:t>Requirements</w:t>
      </w:r>
      <w:r>
        <w:t>;</w:t>
      </w:r>
      <w:proofErr w:type="gramEnd"/>
    </w:p>
    <w:p w14:paraId="5D047F41" w14:textId="0A7E5795" w:rsidR="000D77CE" w:rsidRPr="00EF391D" w:rsidRDefault="00B63F33" w:rsidP="002B7809">
      <w:pPr>
        <w:pStyle w:val="ArticleL5"/>
      </w:pPr>
      <w:bookmarkStart w:id="85" w:name="_Hlk97892945"/>
      <w:bookmarkStart w:id="86" w:name="_Hlk97840892"/>
      <w:bookmarkStart w:id="87" w:name="_Ref149811746"/>
      <w:bookmarkEnd w:id="84"/>
      <w:r w:rsidRPr="00EF391D">
        <w:t xml:space="preserve">Seller has provided evidence reasonably satisfactory to Company that it is compliant </w:t>
      </w:r>
      <w:r w:rsidR="00D533B9" w:rsidRPr="00EF391D">
        <w:t>with and</w:t>
      </w:r>
      <w:r w:rsidRPr="00EF391D">
        <w:t xml:space="preserve"> has adopted and implemented the appropriate policies pertaining to, the Forced Labor Laws consistent with </w:t>
      </w:r>
      <w:r w:rsidRPr="00EF391D">
        <w:rPr>
          <w:u w:val="single"/>
        </w:rPr>
        <w:t xml:space="preserve">Section </w:t>
      </w:r>
      <w:r w:rsidR="0058598E" w:rsidRPr="00EF391D">
        <w:rPr>
          <w:u w:val="single"/>
        </w:rPr>
        <w:fldChar w:fldCharType="begin"/>
      </w:r>
      <w:r w:rsidR="0058598E" w:rsidRPr="00EF391D">
        <w:rPr>
          <w:u w:val="single"/>
        </w:rPr>
        <w:instrText xml:space="preserve"> REF _Ref149743057 \w \h </w:instrText>
      </w:r>
      <w:r w:rsidR="0058598E" w:rsidRPr="00EF391D">
        <w:rPr>
          <w:u w:val="single"/>
        </w:rPr>
      </w:r>
      <w:r w:rsidR="0058598E" w:rsidRPr="00EF391D">
        <w:rPr>
          <w:u w:val="single"/>
        </w:rPr>
        <w:fldChar w:fldCharType="separate"/>
      </w:r>
      <w:r w:rsidR="0058598E" w:rsidRPr="00EF391D">
        <w:rPr>
          <w:u w:val="single"/>
        </w:rPr>
        <w:t>15(B)2</w:t>
      </w:r>
      <w:r w:rsidR="0058598E" w:rsidRPr="00EF391D">
        <w:rPr>
          <w:u w:val="single"/>
        </w:rPr>
        <w:fldChar w:fldCharType="end"/>
      </w:r>
      <w:r w:rsidRPr="00EF391D">
        <w:t xml:space="preserve">.  Seller shall also provide any additional evidence or certifications reasonably requested by Company that the requirements of this subsection have been met, including certifications from an officer of </w:t>
      </w:r>
      <w:r w:rsidRPr="00EF391D">
        <w:lastRenderedPageBreak/>
        <w:t>Seller or third-parties, certificates of origin documentation or importer statements</w:t>
      </w:r>
      <w:bookmarkEnd w:id="85"/>
      <w:bookmarkEnd w:id="86"/>
      <w:r w:rsidRPr="00EF391D">
        <w:t>;</w:t>
      </w:r>
      <w:r w:rsidR="00E36979">
        <w:t xml:space="preserve"> </w:t>
      </w:r>
      <w:r w:rsidRPr="00EF391D">
        <w:t>and,</w:t>
      </w:r>
      <w:bookmarkEnd w:id="87"/>
    </w:p>
    <w:p w14:paraId="2AABC52F" w14:textId="520A7552" w:rsidR="00B63F33" w:rsidRPr="000D77CE" w:rsidRDefault="000D77CE" w:rsidP="002B7809">
      <w:pPr>
        <w:pStyle w:val="ArticleL5"/>
      </w:pPr>
      <w:r>
        <w:t>an officer of Seller, authorized to bind Seller and who is familiar with the Facility, shall certify in writing that all Construction Craft Employees were covered by a collective bargaining agreement with a union affiliated with the local council of North America’s Building Trades Unions (“Building Trades CBA”). If Seller cannot provide such certification as to a specified portion of the work, then an officer of Seller, authorized to bind Seller and who is familiar with the Facility shall certify in writing that Seller met and conferred, in good faith, with the local council of North America’s Building Trades Unions and attempted to find and hire those trade(s) of Construction Craft Employee(s) covered by a Building Trades CBA for that portion of the work, and, if such Construction Craft Employee(s) covered by a Building Trades CBA were not available, that Seller (or Seller’s construction contractor) entered into a site-specific building trades collective bargaining agreement covering that portion of the work.]</w:t>
      </w:r>
    </w:p>
    <w:p w14:paraId="1AB85FE3" w14:textId="0F33AAB1" w:rsidR="00B63F33" w:rsidRDefault="00B63F33" w:rsidP="002B7809">
      <w:pPr>
        <w:pStyle w:val="ArticleL3"/>
      </w:pPr>
      <w:bookmarkStart w:id="88" w:name="_Ref149809347"/>
      <w:bookmarkEnd w:id="75"/>
      <w:r>
        <w:t>For purposes hereof, the first “</w:t>
      </w:r>
      <w:r>
        <w:rPr>
          <w:u w:val="single"/>
        </w:rPr>
        <w:t>Commercial Operation Year</w:t>
      </w:r>
      <w:r>
        <w:t>” shall mean the period starting at 12:01 a.m. on the Commercial Operation Date and ending at 11:59 pm on the last Day of the calendar month in which the first anniversary of COD occurs, and each successive “Commercial Operation Year” shall mean the 12-month period following the prior Commercial Operation Year.</w:t>
      </w:r>
      <w:bookmarkEnd w:id="88"/>
      <w:r>
        <w:t xml:space="preserve">  </w:t>
      </w:r>
    </w:p>
    <w:p w14:paraId="2E4349B4" w14:textId="77777777" w:rsidR="00B63F33" w:rsidRDefault="00B63F33" w:rsidP="002B7809">
      <w:pPr>
        <w:pStyle w:val="ArticleL3"/>
      </w:pPr>
      <w:r>
        <w:t>Prior to COD, should Seller require Company’s assistance in meeting the COD Conditions because the Transmission Authority considers Company to be the market participant for the Facility, Company shall use Commercially Reasonable Efforts to cooperate with and provide assistance to Seller, so long as Seller provides any security the Transmission Authority requires and reimburses Company for all expenses, including fees of counsel, Company may incur in providing such cooperation and assistance.</w:t>
      </w:r>
    </w:p>
    <w:p w14:paraId="666F47BE" w14:textId="4D962ABF" w:rsidR="00B63F33" w:rsidRDefault="00B63F33" w:rsidP="002B7809">
      <w:pPr>
        <w:pStyle w:val="ArticleL2"/>
      </w:pPr>
      <w:bookmarkStart w:id="89" w:name="_Toc147494842"/>
      <w:bookmarkStart w:id="90" w:name="_Toc288027249"/>
      <w:bookmarkStart w:id="91" w:name="_Toc433953967"/>
      <w:bookmarkStart w:id="92" w:name="_Toc433954125"/>
      <w:bookmarkStart w:id="93" w:name="_Ref149811820"/>
      <w:r w:rsidRPr="004F6DE4">
        <w:rPr>
          <w:rStyle w:val="ArticleL2UnderlineChar"/>
        </w:rPr>
        <w:t>Test Energy</w:t>
      </w:r>
      <w:bookmarkEnd w:id="89"/>
      <w:r>
        <w:t>.</w:t>
      </w:r>
      <w:bookmarkEnd w:id="90"/>
      <w:bookmarkEnd w:id="91"/>
      <w:bookmarkEnd w:id="92"/>
      <w:bookmarkEnd w:id="93"/>
    </w:p>
    <w:p w14:paraId="56203D8E" w14:textId="57540D8A" w:rsidR="00B63F33" w:rsidRDefault="00B63F33" w:rsidP="002B7809">
      <w:pPr>
        <w:pStyle w:val="ArticleL3"/>
      </w:pPr>
      <w:r>
        <w:t xml:space="preserve">Seller shall provide Company and Transmission Authority with the information necessary to have the Facility registered with the Transmission Authority for inclusion in any generation modeling maintained by the Transmission Authority, sufficiently in advance to allow the Facility to be registered in such model at least four </w:t>
      </w:r>
      <w:r>
        <w:lastRenderedPageBreak/>
        <w:t xml:space="preserve">months </w:t>
      </w:r>
      <w:r w:rsidRPr="00EF391D">
        <w:t xml:space="preserve"> prior to generating any Test Energy.  Company shall cooperate reasonably to assist in the registration </w:t>
      </w:r>
      <w:r>
        <w:t>of the Facility to allow generation of Test Energy.</w:t>
      </w:r>
    </w:p>
    <w:p w14:paraId="2DE66241" w14:textId="77777777" w:rsidR="00B63F33" w:rsidRDefault="00B63F33" w:rsidP="002B7809">
      <w:pPr>
        <w:pStyle w:val="ArticleL3"/>
      </w:pPr>
      <w:r>
        <w:t xml:space="preserve">Seller shall coordinate the production and delivery of Test Energy with Company, with not less than seven (7) Business Days’ prior notice, or such other Commercially Reasonable prior notice as Company may reasonably request. </w:t>
      </w:r>
    </w:p>
    <w:p w14:paraId="7A542024" w14:textId="5D0ADB68" w:rsidR="00B63F33" w:rsidRDefault="00B63F33" w:rsidP="002B7809">
      <w:pPr>
        <w:pStyle w:val="ArticleL3"/>
      </w:pPr>
      <w:r>
        <w:t>For purposes hereof, “</w:t>
      </w:r>
      <w:r>
        <w:rPr>
          <w:u w:val="single"/>
        </w:rPr>
        <w:t>Test Energy</w:t>
      </w:r>
      <w:r>
        <w:t xml:space="preserve">” means Renewable Energy generated by the Facility prior to COD that is required to satisfy the COD Conditions or as otherwise determined by the Company in the exercise of its reasonable discretion. </w:t>
      </w:r>
    </w:p>
    <w:p w14:paraId="0861FEB1" w14:textId="4C5752B5" w:rsidR="00B63F33" w:rsidRDefault="00B63F33" w:rsidP="002B7809">
      <w:pPr>
        <w:pStyle w:val="ArticleL1"/>
      </w:pPr>
      <w:bookmarkStart w:id="94" w:name="_Toc288027250"/>
      <w:bookmarkStart w:id="95" w:name="_Toc433953968"/>
      <w:bookmarkStart w:id="96" w:name="_Toc433954126"/>
      <w:bookmarkStart w:id="97" w:name="_Toc147494843"/>
      <w:bookmarkStart w:id="98" w:name="_Ref149743108"/>
      <w:r>
        <w:t>Delivery</w:t>
      </w:r>
      <w:bookmarkEnd w:id="94"/>
      <w:bookmarkEnd w:id="95"/>
      <w:bookmarkEnd w:id="96"/>
      <w:bookmarkEnd w:id="97"/>
      <w:bookmarkEnd w:id="98"/>
    </w:p>
    <w:p w14:paraId="32747849" w14:textId="4D0CC3D1" w:rsidR="00B63F33" w:rsidRDefault="00B63F33" w:rsidP="002B7809">
      <w:pPr>
        <w:pStyle w:val="ArticleL2"/>
      </w:pPr>
      <w:bookmarkStart w:id="99" w:name="_Toc147494844"/>
      <w:bookmarkStart w:id="100" w:name="_Toc288027251"/>
      <w:bookmarkStart w:id="101" w:name="_Toc433953969"/>
      <w:bookmarkStart w:id="102" w:name="_Toc433954127"/>
      <w:r w:rsidRPr="00420E14">
        <w:rPr>
          <w:rStyle w:val="ArticleL2UnderlineChar"/>
        </w:rPr>
        <w:t>Arrangements</w:t>
      </w:r>
      <w:bookmarkEnd w:id="99"/>
      <w:r>
        <w:t>.</w:t>
      </w:r>
      <w:bookmarkEnd w:id="100"/>
      <w:r>
        <w:t xml:space="preserve">  </w:t>
      </w:r>
    </w:p>
    <w:bookmarkEnd w:id="101"/>
    <w:bookmarkEnd w:id="102"/>
    <w:p w14:paraId="6DAB7E6C" w14:textId="77777777" w:rsidR="004B53F3" w:rsidRDefault="00B63F33" w:rsidP="002B7809">
      <w:pPr>
        <w:pStyle w:val="ArticleL3"/>
      </w:pPr>
      <w:r>
        <w:t xml:space="preserve">Seller shall </w:t>
      </w:r>
      <w:proofErr w:type="gramStart"/>
      <w:r>
        <w:t>be responsible for</w:t>
      </w:r>
      <w:proofErr w:type="gramEnd"/>
      <w:r>
        <w:t xml:space="preserve"> arranging, maintaining and paying the costs associated with the interconnection of the Facility to the Transmission Authority’s System. Seller shall comply with the Transmission Authority’s requirements for interconnection and shall comply with all requirements set forth in the applicable Transmission Tariff.  </w:t>
      </w:r>
    </w:p>
    <w:p w14:paraId="393753E6" w14:textId="7DF7277F" w:rsidR="00B63F33" w:rsidRPr="00773B62" w:rsidRDefault="004B53F3" w:rsidP="007E6F4B">
      <w:pPr>
        <w:pStyle w:val="ArticleL3"/>
      </w:pPr>
      <w:r w:rsidRPr="00EF391D">
        <w:t>Seller’s interconnection application shall request that the Transmission Authority study the Facility for Network Resource Interconnection Service under the Transmission Tariff.  The resulting Interconnection Agreement must be Network Resource Interconnection Service.</w:t>
      </w:r>
    </w:p>
    <w:p w14:paraId="1A9A6E0E" w14:textId="77777777" w:rsidR="00B63F33" w:rsidRDefault="00B63F33" w:rsidP="002B7809">
      <w:pPr>
        <w:pStyle w:val="ArticleL3"/>
      </w:pPr>
      <w:r>
        <w:t>Seller hereby authorizes Company to contact, discuss and obtain information concerning the Facility and Interconnection Facilities directly with/from the Transmission Authority.  Promptly upon request by Company, Seller shall confirm such authorization in writing to the Transmission Authority and any applicable transmission owners in such form as may be requested by Company or the Transmission Authority.</w:t>
      </w:r>
    </w:p>
    <w:p w14:paraId="1E659044" w14:textId="77777777" w:rsidR="00B63F33" w:rsidRDefault="00B63F33" w:rsidP="002B7809">
      <w:pPr>
        <w:pStyle w:val="ArticleL3"/>
      </w:pPr>
      <w:bookmarkStart w:id="103" w:name="_Ref149743294"/>
      <w:r>
        <w:t>To the extent required, Company shall arrange and be responsible for scheduling and transmission services beyond the Point of Delivery with respect to the output of the Facility.  To the extent applicable, Company shall be the market participant with respect to the output of the Facility, as defined by the Transmission Authority.</w:t>
      </w:r>
      <w:bookmarkEnd w:id="103"/>
    </w:p>
    <w:p w14:paraId="395C4197" w14:textId="37D206CF" w:rsidR="00B63F33" w:rsidRDefault="00B63F33" w:rsidP="002B7809">
      <w:pPr>
        <w:pStyle w:val="ArticleL3"/>
      </w:pPr>
      <w:r>
        <w:t xml:space="preserve">Seller shall be responsible for all interconnection, electrical losses, transmission and </w:t>
      </w:r>
      <w:r w:rsidR="000C4685">
        <w:t>A</w:t>
      </w:r>
      <w:r>
        <w:t xml:space="preserve">ncillary </w:t>
      </w:r>
      <w:r w:rsidR="000C4685">
        <w:t>S</w:t>
      </w:r>
      <w:r>
        <w:t xml:space="preserve">ervice arrangements and costs required to deliver the Renewable Energy.  </w:t>
      </w:r>
      <w:bookmarkStart w:id="104" w:name="place"/>
      <w:bookmarkEnd w:id="104"/>
      <w:r>
        <w:t xml:space="preserve">Company shall be responsible for all electrical losses, transmission and </w:t>
      </w:r>
      <w:r w:rsidR="000C4685">
        <w:t>A</w:t>
      </w:r>
      <w:r>
        <w:t xml:space="preserve">ncillary </w:t>
      </w:r>
      <w:r w:rsidR="000C4685">
        <w:t>S</w:t>
      </w:r>
      <w:r>
        <w:t xml:space="preserve">ervice arrangements and costs required to transmit and deliver Renewable Energy beyond the Point of Delivery.  </w:t>
      </w:r>
    </w:p>
    <w:p w14:paraId="234D233C" w14:textId="3C06CFCB" w:rsidR="00B63F33" w:rsidRDefault="00B63F33" w:rsidP="002B7809">
      <w:pPr>
        <w:pStyle w:val="ArticleL2"/>
      </w:pPr>
      <w:bookmarkStart w:id="105" w:name="_Toc147494845"/>
      <w:bookmarkStart w:id="106" w:name="_Toc433953970"/>
      <w:bookmarkStart w:id="107" w:name="_Toc433954128"/>
      <w:bookmarkStart w:id="108" w:name="_Ref149743324"/>
      <w:bookmarkStart w:id="109" w:name="_Toc288027252"/>
      <w:r w:rsidRPr="00420E14">
        <w:rPr>
          <w:rStyle w:val="ArticleL2UnderlineChar"/>
        </w:rPr>
        <w:t>Market Changes</w:t>
      </w:r>
      <w:bookmarkEnd w:id="105"/>
      <w:r>
        <w:t>.</w:t>
      </w:r>
      <w:bookmarkEnd w:id="106"/>
      <w:bookmarkEnd w:id="107"/>
      <w:r>
        <w:t xml:space="preserve">  </w:t>
      </w:r>
      <w:bookmarkEnd w:id="108"/>
    </w:p>
    <w:p w14:paraId="614D856B" w14:textId="77777777" w:rsidR="00B63F33" w:rsidRDefault="00B63F33" w:rsidP="002B7809">
      <w:pPr>
        <w:pStyle w:val="ArticleL3"/>
      </w:pPr>
      <w:r>
        <w:t>If at any time during the Term, the Transmission Authority changes or the facilities at the Point of Delivery cease to be subject to the Transmission Tariff, the Parties shall cooperate in good faith to facilitate the delivery of Renewable Energy, at the least possible cost to the Parties, consistent with this PPA to the extent possible.</w:t>
      </w:r>
    </w:p>
    <w:p w14:paraId="4B2732E2" w14:textId="3BA54A50" w:rsidR="002E3860" w:rsidRPr="00EF391D" w:rsidRDefault="00B63F33" w:rsidP="002B7809">
      <w:pPr>
        <w:pStyle w:val="ArticleL3"/>
        <w:rPr>
          <w:b/>
        </w:rPr>
      </w:pPr>
      <w:r w:rsidRPr="00EF391D">
        <w:t xml:space="preserve">If and to the extent that changes to the rules of the Market Operator require Company to change the manner in which Company schedules and dispatches the </w:t>
      </w:r>
      <w:r w:rsidRPr="00EF391D">
        <w:lastRenderedPageBreak/>
        <w:t xml:space="preserve">Facility, the Parties shall cooperate in good faith to change their protocols for operation of the Facility accordingly, at the least possible cost to the Parties, consistent with this PPA to the extent possible. </w:t>
      </w:r>
    </w:p>
    <w:p w14:paraId="760444CA" w14:textId="19B272D3" w:rsidR="00B63F33" w:rsidRDefault="00B63F33" w:rsidP="002B7809">
      <w:pPr>
        <w:pStyle w:val="ArticleL3"/>
      </w:pPr>
      <w:r w:rsidRPr="00EF391D">
        <w:t xml:space="preserve">In addition, if as a result of any change in Applicable Law the Company is not able to realize the capacity and </w:t>
      </w:r>
      <w:r w:rsidR="00981E24" w:rsidRPr="00EF391D">
        <w:t>A</w:t>
      </w:r>
      <w:r w:rsidRPr="00EF391D">
        <w:t xml:space="preserve">ncillary </w:t>
      </w:r>
      <w:r w:rsidR="00981E24" w:rsidRPr="00EF391D">
        <w:t>S</w:t>
      </w:r>
      <w:r w:rsidRPr="00EF391D">
        <w:t xml:space="preserve">ervices products that the Facility is able to provide to the Company as of the Effective Date and such capacity and </w:t>
      </w:r>
      <w:r w:rsidR="00DD6001" w:rsidRPr="00EF391D">
        <w:t>A</w:t>
      </w:r>
      <w:r w:rsidRPr="00EF391D">
        <w:t xml:space="preserve">ncillary </w:t>
      </w:r>
      <w:r w:rsidR="00DD6001">
        <w:t>S</w:t>
      </w:r>
      <w:r>
        <w:t xml:space="preserve">ervices products can be provided by the Facility subject to the Seller making capital expenditures to comply with such change in Applicable Law, then Seller agrees that it shall make all such required capital expenditures so that the Facility is able to provide such capacity and </w:t>
      </w:r>
      <w:r w:rsidR="00DD6001">
        <w:t>A</w:t>
      </w:r>
      <w:r>
        <w:t xml:space="preserve">ncillary </w:t>
      </w:r>
      <w:r w:rsidR="00DD6001">
        <w:t>S</w:t>
      </w:r>
      <w:r>
        <w:t xml:space="preserve">ervices products to the Company. </w:t>
      </w:r>
    </w:p>
    <w:p w14:paraId="1CD0014E" w14:textId="169E0E66" w:rsidR="00B63F33" w:rsidRDefault="00B63F33" w:rsidP="002B7809">
      <w:pPr>
        <w:pStyle w:val="ArticleL2"/>
      </w:pPr>
      <w:bookmarkStart w:id="110" w:name="_Toc147494846"/>
      <w:bookmarkStart w:id="111" w:name="_Toc433953971"/>
      <w:bookmarkStart w:id="112" w:name="_Toc433954129"/>
      <w:r w:rsidRPr="00420E14">
        <w:rPr>
          <w:rStyle w:val="ArticleL2UnderlineChar"/>
        </w:rPr>
        <w:t>Electric Metering Devices</w:t>
      </w:r>
      <w:bookmarkEnd w:id="110"/>
      <w:r>
        <w:t>.</w:t>
      </w:r>
      <w:bookmarkEnd w:id="111"/>
      <w:bookmarkEnd w:id="112"/>
      <w:r>
        <w:t xml:space="preserve">  </w:t>
      </w:r>
      <w:bookmarkEnd w:id="109"/>
    </w:p>
    <w:p w14:paraId="72CED3FE" w14:textId="6B74E546" w:rsidR="00B63F33" w:rsidRDefault="00B63F33" w:rsidP="002B7809">
      <w:pPr>
        <w:pStyle w:val="ArticleL3"/>
      </w:pPr>
      <w:r>
        <w:t xml:space="preserve">All Electric Metering Devices used to measure Renewable Energy located and installed at the Point of Delivery shall be owned and maintained by Company or Transmission Authority, </w:t>
      </w:r>
      <w:bookmarkStart w:id="113" w:name="_cp_change_15"/>
      <w:r w:rsidRPr="00BC316D">
        <w:rPr>
          <w:color w:val="000000" w:themeColor="text1"/>
        </w:rPr>
        <w:t>unless otherwise agreed to by Company</w:t>
      </w:r>
      <w:bookmarkEnd w:id="113"/>
      <w:r w:rsidRPr="00BC316D">
        <w:rPr>
          <w:color w:val="000000" w:themeColor="text1"/>
        </w:rPr>
        <w:t xml:space="preserve">; and all electrical </w:t>
      </w:r>
      <w:r>
        <w:t xml:space="preserve">Metering Devices located at or within the Facility shall be owned and maintained by Seller, at no cost to Company.  All Electric Metering Devices shall meet the requirements of </w:t>
      </w:r>
      <w:r w:rsidR="000E4265" w:rsidRPr="000E4265">
        <w:rPr>
          <w:u w:val="single"/>
        </w:rPr>
        <w:t xml:space="preserve">Exhibit </w:t>
      </w:r>
      <w:r w:rsidR="000E4265">
        <w:rPr>
          <w:u w:val="single"/>
        </w:rPr>
        <w:t>O</w:t>
      </w:r>
      <w:r w:rsidR="000E4265" w:rsidRPr="000E4265">
        <w:rPr>
          <w:u w:val="single"/>
        </w:rPr>
        <w:t xml:space="preserve"> - Meter </w:t>
      </w:r>
      <w:r w:rsidR="000E4265">
        <w:rPr>
          <w:u w:val="single"/>
        </w:rPr>
        <w:t>a</w:t>
      </w:r>
      <w:r w:rsidR="000E4265" w:rsidRPr="000E4265">
        <w:rPr>
          <w:u w:val="single"/>
        </w:rPr>
        <w:t>nd Communications Requirements</w:t>
      </w:r>
      <w:r w:rsidR="00716380">
        <w:t>:</w:t>
      </w:r>
      <w:r>
        <w:t xml:space="preserve"> </w:t>
      </w:r>
    </w:p>
    <w:p w14:paraId="03A79C22" w14:textId="21302132" w:rsidR="00B63F33" w:rsidRDefault="00B63F33" w:rsidP="002B7809">
      <w:pPr>
        <w:pStyle w:val="ArticleL4"/>
      </w:pPr>
      <w:r>
        <w:t xml:space="preserve">Meter readings will be adjusted to reflect losses from the Electric Metering Devices to the Point of Delivery in accordance with applicable manufacturers’ parameters or as otherwise agreed by the Parties. </w:t>
      </w:r>
    </w:p>
    <w:p w14:paraId="501D6458" w14:textId="53418482" w:rsidR="00B63F33" w:rsidRDefault="00B63F33" w:rsidP="002B7809">
      <w:pPr>
        <w:pStyle w:val="ArticleL4"/>
      </w:pPr>
      <w:bookmarkStart w:id="114" w:name="_Hlk48128216"/>
      <w:r>
        <w:t xml:space="preserve">Seller shall arrange any necessary authorization to </w:t>
      </w:r>
      <w:proofErr w:type="gramStart"/>
      <w:r>
        <w:t>provide</w:t>
      </w:r>
      <w:proofErr w:type="gramEnd"/>
      <w:r>
        <w:t xml:space="preserve"> Company access to all Electric Metering Devices via electronic remote communications and via physical access for purposes related to this </w:t>
      </w:r>
      <w:bookmarkEnd w:id="114"/>
      <w:r w:rsidR="00716380">
        <w:t>PPA and</w:t>
      </w:r>
      <w:r>
        <w:t xml:space="preserve"> shall provide Company the opportunity to be present at any time when such Electric Metering Devices are to be inspected, tested or adjusted.  </w:t>
      </w:r>
    </w:p>
    <w:p w14:paraId="129F7351" w14:textId="24B90491" w:rsidR="00B63F33" w:rsidRDefault="00B63F33" w:rsidP="002B7809">
      <w:pPr>
        <w:pStyle w:val="ArticleL3"/>
      </w:pPr>
      <w:bookmarkStart w:id="115" w:name="_Ref149809248"/>
      <w:r>
        <w:t xml:space="preserve">Either Party may elect to install and maintain, at its own expense, backup </w:t>
      </w:r>
      <w:bookmarkStart w:id="116" w:name="_cp_change_17"/>
      <w:r w:rsidRPr="00BC316D">
        <w:rPr>
          <w:color w:val="000000" w:themeColor="text1"/>
        </w:rPr>
        <w:t>Electric Metering Devices</w:t>
      </w:r>
      <w:bookmarkEnd w:id="116"/>
      <w:r w:rsidRPr="00BC316D">
        <w:rPr>
          <w:color w:val="000000" w:themeColor="text1"/>
        </w:rPr>
        <w:t xml:space="preserve"> </w:t>
      </w:r>
      <w:r>
        <w:t>(“</w:t>
      </w:r>
      <w:r>
        <w:rPr>
          <w:u w:val="single"/>
        </w:rPr>
        <w:t>Back-Up Metering</w:t>
      </w:r>
      <w:r>
        <w:t xml:space="preserve">”), </w:t>
      </w:r>
      <w:r>
        <w:rPr>
          <w:i/>
        </w:rPr>
        <w:t xml:space="preserve">provided, however, </w:t>
      </w:r>
      <w:r>
        <w:t>that the specifications, installation and testing of any such Back-Up Metering shall be consistent with the requirements for the Electric Metering Devices.   Upon written request from the other Party, the installing Party shall test the Back-Up Metering.  The actual cost of any such test shall be borne by the Party requesting the test, unless, upon such test, Back-Up Metering is inaccurate by more than one percent (1%), in which case the cost of the retest shall be borne by the installing Party.  If requested in writing, the installing Party shall provide copies of any inspection or testing reports to the requesting Party.</w:t>
      </w:r>
      <w:bookmarkEnd w:id="115"/>
    </w:p>
    <w:p w14:paraId="0A179AC2" w14:textId="28743AA7" w:rsidR="00B63F33" w:rsidRDefault="00B63F33" w:rsidP="002B7809">
      <w:pPr>
        <w:pStyle w:val="ArticleL3"/>
      </w:pPr>
      <w:r>
        <w:t xml:space="preserve">If an Electric Metering Device or Back-Up Metering fails to register, or if the measurement is inaccurate by more than one percent (1%), </w:t>
      </w:r>
      <w:bookmarkStart w:id="117" w:name="_cp_change_18"/>
      <w:r w:rsidRPr="00BC316D">
        <w:rPr>
          <w:color w:val="000000" w:themeColor="text1"/>
          <w:u w:color="FF0000"/>
        </w:rPr>
        <w:t xml:space="preserve">if requested by Company, </w:t>
      </w:r>
      <w:bookmarkEnd w:id="117"/>
      <w:r>
        <w:t xml:space="preserve">an adjustment </w:t>
      </w:r>
      <w:bookmarkStart w:id="118" w:name="_cp_change_24"/>
      <w:r w:rsidR="00BC316D">
        <w:t xml:space="preserve">shall </w:t>
      </w:r>
      <w:bookmarkEnd w:id="118"/>
      <w:r>
        <w:t>be made correcting all measurements as follows:</w:t>
      </w:r>
    </w:p>
    <w:p w14:paraId="4698BE05" w14:textId="42EFA812" w:rsidR="00B63F33" w:rsidRDefault="00B63F33" w:rsidP="002B7809">
      <w:pPr>
        <w:pStyle w:val="ArticleL4"/>
      </w:pPr>
      <w:r>
        <w:t xml:space="preserve">If the Electric Metering Device is found to be defective or inaccurate, the Parties shall use Back-up Metering, if installed, to determine the amount of such inaccuracy, </w:t>
      </w:r>
      <w:r>
        <w:rPr>
          <w:i/>
        </w:rPr>
        <w:t xml:space="preserve">provided, however, </w:t>
      </w:r>
      <w:r>
        <w:t xml:space="preserve">that Back-Up Metering has been tested and maintained and adjusted for losses on the same basis as the Electric Metering Device.  If Back-Up Metering is not installed, or Back-Up Metering is also </w:t>
      </w:r>
      <w:r>
        <w:lastRenderedPageBreak/>
        <w:t xml:space="preserve">found to be inaccurate by more than one percent (1%), the Parties shall use the best available information for the period of inaccuracy, adjusted for losses to the Point of Delivery in accordance with applicable manufacturers’ parameters or as otherwise agreed by the Parties.  </w:t>
      </w:r>
    </w:p>
    <w:p w14:paraId="6CBEB2D6" w14:textId="77777777" w:rsidR="00B63F33" w:rsidRDefault="00B63F33" w:rsidP="002B7809">
      <w:pPr>
        <w:pStyle w:val="ArticleL4"/>
      </w:pPr>
      <w:r>
        <w:t>If the Parties cannot agree on the actual period during which inaccurate measurements were made, the period shall be the shorter of (i) the last one-half of the period from the last previous test of the Electric Metering Device to the test that found the Electric Metering Device to be defective or inaccurate, or (ii) one hundred eighty (180) Days immediately preceding the test that found the Electric Metering Device to be defective or inaccurate.</w:t>
      </w:r>
    </w:p>
    <w:p w14:paraId="6ADFA098" w14:textId="30D2E3BE" w:rsidR="00B63F33" w:rsidRDefault="00B63F33" w:rsidP="002B7809">
      <w:pPr>
        <w:pStyle w:val="ArticleL4"/>
      </w:pPr>
      <w:r>
        <w:t xml:space="preserve">To the extent that an adjustment period covers a period of deliveries for which payment has already been made by Company, Company shall use the corrected measurements as determined in accordance with this </w:t>
      </w:r>
      <w:r w:rsidR="0058598E">
        <w:rPr>
          <w:u w:val="single"/>
        </w:rPr>
        <w:fldChar w:fldCharType="begin"/>
      </w:r>
      <w:r w:rsidR="0058598E">
        <w:instrText xml:space="preserve"> REF _Ref149743108 \w \h </w:instrText>
      </w:r>
      <w:r w:rsidR="0058598E">
        <w:rPr>
          <w:u w:val="single"/>
        </w:rPr>
      </w:r>
      <w:r w:rsidR="0058598E">
        <w:rPr>
          <w:u w:val="single"/>
        </w:rPr>
        <w:fldChar w:fldCharType="separate"/>
      </w:r>
      <w:r w:rsidR="0058598E">
        <w:t>Article 5</w:t>
      </w:r>
      <w:r w:rsidR="0058598E">
        <w:rPr>
          <w:u w:val="single"/>
        </w:rPr>
        <w:fldChar w:fldCharType="end"/>
      </w:r>
      <w:r>
        <w:t xml:space="preserve"> to re-compute the amount due for the period of the inaccuracy and shall subtract the previous payments made by Company for this period from such re-computed amount.  The net difference shall be reflected as an adjustment on the next regular invoice </w:t>
      </w:r>
      <w:proofErr w:type="gramStart"/>
      <w:r>
        <w:t>in accordance with</w:t>
      </w:r>
      <w:proofErr w:type="gramEnd"/>
      <w:r>
        <w:t xml:space="preserve"> </w:t>
      </w:r>
      <w:r w:rsidR="0058598E">
        <w:rPr>
          <w:u w:val="single"/>
        </w:rPr>
        <w:fldChar w:fldCharType="begin"/>
      </w:r>
      <w:r w:rsidR="0058598E">
        <w:instrText xml:space="preserve"> REF _Ref149743123 \w \h </w:instrText>
      </w:r>
      <w:r w:rsidR="0058598E">
        <w:rPr>
          <w:u w:val="single"/>
        </w:rPr>
      </w:r>
      <w:r w:rsidR="0058598E">
        <w:rPr>
          <w:u w:val="single"/>
        </w:rPr>
        <w:fldChar w:fldCharType="separate"/>
      </w:r>
      <w:r w:rsidR="0058598E">
        <w:t>Article 9</w:t>
      </w:r>
      <w:r w:rsidR="0058598E">
        <w:rPr>
          <w:u w:val="single"/>
        </w:rPr>
        <w:fldChar w:fldCharType="end"/>
      </w:r>
      <w:r>
        <w:t>.</w:t>
      </w:r>
    </w:p>
    <w:p w14:paraId="2020D3F1" w14:textId="0246E52F" w:rsidR="00B63F33" w:rsidRDefault="00B63F33" w:rsidP="002B7809">
      <w:pPr>
        <w:pStyle w:val="ArticleL2"/>
      </w:pPr>
      <w:bookmarkStart w:id="119" w:name="_Toc147494847"/>
      <w:r w:rsidRPr="00420E14">
        <w:rPr>
          <w:rStyle w:val="ArticleL2UnderlineChar"/>
        </w:rPr>
        <w:t>Communication Protocols</w:t>
      </w:r>
      <w:bookmarkEnd w:id="119"/>
      <w:r>
        <w:t xml:space="preserve">.  </w:t>
      </w:r>
    </w:p>
    <w:p w14:paraId="266F8D9C" w14:textId="2B0868A1" w:rsidR="00B63F33" w:rsidRDefault="00805D66" w:rsidP="00D1485E">
      <w:pPr>
        <w:pStyle w:val="BodyTextFirstIndent"/>
        <w:spacing w:after="360"/>
        <w:ind w:right="0"/>
      </w:pPr>
      <w:r>
        <w:t xml:space="preserve">To facilitate the exchange of information between the Parties, the Parties shall follow the communication protocols set forth in </w:t>
      </w:r>
      <w:r w:rsidR="000E4265" w:rsidRPr="009076E2">
        <w:rPr>
          <w:u w:val="single"/>
        </w:rPr>
        <w:t>Exhibit I - A</w:t>
      </w:r>
      <w:r w:rsidR="000E4265">
        <w:rPr>
          <w:u w:val="single"/>
        </w:rPr>
        <w:t>GC</w:t>
      </w:r>
      <w:r w:rsidR="000E4265" w:rsidRPr="009076E2">
        <w:rPr>
          <w:u w:val="single"/>
        </w:rPr>
        <w:t xml:space="preserve"> Protocols; Data Collection; Availability Reporting</w:t>
      </w:r>
      <w:r>
        <w:t xml:space="preserve">.   </w:t>
      </w:r>
    </w:p>
    <w:p w14:paraId="209850F9" w14:textId="58E8E2D5" w:rsidR="00B63F33" w:rsidRDefault="00B63F33" w:rsidP="002B7809">
      <w:pPr>
        <w:pStyle w:val="ArticleL1"/>
      </w:pPr>
      <w:bookmarkStart w:id="120" w:name="_Toc288027253"/>
      <w:bookmarkStart w:id="121" w:name="_Toc433953972"/>
      <w:bookmarkStart w:id="122" w:name="_Toc433954130"/>
      <w:bookmarkStart w:id="123" w:name="_Toc147494848"/>
      <w:r>
        <w:t>Conditions Precedent</w:t>
      </w:r>
      <w:bookmarkEnd w:id="120"/>
      <w:bookmarkEnd w:id="121"/>
      <w:bookmarkEnd w:id="122"/>
      <w:bookmarkEnd w:id="123"/>
    </w:p>
    <w:p w14:paraId="0E6715E2" w14:textId="7952DC25" w:rsidR="00B63F33" w:rsidRDefault="00B63F33" w:rsidP="002B7809">
      <w:pPr>
        <w:pStyle w:val="ArticleL2"/>
      </w:pPr>
      <w:bookmarkStart w:id="124" w:name="_Toc147494849"/>
      <w:bookmarkStart w:id="125" w:name="_Toc433953973"/>
      <w:bookmarkStart w:id="126" w:name="_Toc433954131"/>
      <w:bookmarkStart w:id="127" w:name="_Ref149743137"/>
      <w:bookmarkStart w:id="128" w:name="_Ref149743166"/>
      <w:bookmarkStart w:id="129" w:name="_Toc288027254"/>
      <w:r w:rsidRPr="00420E14">
        <w:rPr>
          <w:rStyle w:val="ArticleL2UnderlineChar"/>
        </w:rPr>
        <w:t>PUC Approval</w:t>
      </w:r>
      <w:bookmarkEnd w:id="124"/>
      <w:r>
        <w:t>.</w:t>
      </w:r>
      <w:bookmarkEnd w:id="125"/>
      <w:bookmarkEnd w:id="126"/>
      <w:bookmarkEnd w:id="127"/>
      <w:bookmarkEnd w:id="128"/>
    </w:p>
    <w:p w14:paraId="23BF4623" w14:textId="33AD5B40" w:rsidR="00B63F33" w:rsidRPr="00EF391D" w:rsidRDefault="00B63F33" w:rsidP="002B7809">
      <w:pPr>
        <w:pStyle w:val="ArticleL3"/>
      </w:pPr>
      <w:bookmarkStart w:id="130" w:name="_Hlk47092979"/>
      <w:r>
        <w:t xml:space="preserve">No later than forty-five (45) Days after the Effective Date, Company may apply to the </w:t>
      </w:r>
      <w:bookmarkStart w:id="131" w:name="_Hlk46224833"/>
      <w:r w:rsidRPr="00EF391D">
        <w:t xml:space="preserve">MPUC/ND PSC </w:t>
      </w:r>
      <w:bookmarkEnd w:id="131"/>
      <w:r w:rsidRPr="00EF391D">
        <w:t xml:space="preserve">for PUC Approval.  If Company fails to apply for PUC Approval within forty-five (45) Days following the Effective Date, Company shall be deemed to have waived its right to obtain PUC Approval and to terminate this PPA under this </w:t>
      </w:r>
      <w:r w:rsidRPr="00EF391D">
        <w:rPr>
          <w:u w:val="single"/>
        </w:rPr>
        <w:t xml:space="preserve">Section </w:t>
      </w:r>
      <w:r w:rsidR="0058598E" w:rsidRPr="00EF391D">
        <w:rPr>
          <w:u w:val="single"/>
        </w:rPr>
        <w:fldChar w:fldCharType="begin"/>
      </w:r>
      <w:r w:rsidR="0058598E" w:rsidRPr="00EF391D">
        <w:rPr>
          <w:u w:val="single"/>
        </w:rPr>
        <w:instrText xml:space="preserve"> REF _Ref149743137 \w \h </w:instrText>
      </w:r>
      <w:r w:rsidR="0058598E" w:rsidRPr="00EF391D">
        <w:rPr>
          <w:u w:val="single"/>
        </w:rPr>
      </w:r>
      <w:r w:rsidR="0058598E" w:rsidRPr="00EF391D">
        <w:rPr>
          <w:u w:val="single"/>
        </w:rPr>
        <w:fldChar w:fldCharType="separate"/>
      </w:r>
      <w:r w:rsidR="0058598E" w:rsidRPr="00EF391D">
        <w:rPr>
          <w:u w:val="single"/>
        </w:rPr>
        <w:t>6.1</w:t>
      </w:r>
      <w:r w:rsidR="0058598E" w:rsidRPr="00EF391D">
        <w:rPr>
          <w:u w:val="single"/>
        </w:rPr>
        <w:fldChar w:fldCharType="end"/>
      </w:r>
      <w:r w:rsidRPr="00EF391D">
        <w:t>, and this PPA shall remain in full force and effect thereafter.</w:t>
      </w:r>
      <w:bookmarkEnd w:id="130"/>
    </w:p>
    <w:p w14:paraId="7BF267AE" w14:textId="27B43E57" w:rsidR="00B63F33" w:rsidRPr="00EF391D" w:rsidRDefault="00B63F33" w:rsidP="002B7809">
      <w:pPr>
        <w:pStyle w:val="ArticleL3"/>
      </w:pPr>
      <w:r w:rsidRPr="00EF391D">
        <w:t xml:space="preserve">If Company applies for PUC Approval, Company shall use Commercially Reasonable Efforts to obtain PUC Approval as soon as reasonably practicable.  Seller shall cooperate with Company’s efforts to obtain PUC Approval.    </w:t>
      </w:r>
    </w:p>
    <w:p w14:paraId="1D807C8B" w14:textId="7E25E11B" w:rsidR="00B63F33" w:rsidRPr="00EF391D" w:rsidRDefault="00B63F33" w:rsidP="002B7809">
      <w:pPr>
        <w:pStyle w:val="ArticleL3"/>
      </w:pPr>
      <w:r w:rsidRPr="00EF391D">
        <w:t xml:space="preserve">If Company applies for PUC Approval, Company shall have the right to terminate this PPA, without any further financial or other obligation to Seller as a result of such termination, by notice to </w:t>
      </w:r>
      <w:proofErr w:type="gramStart"/>
      <w:r w:rsidRPr="00EF391D">
        <w:t>Seller;</w:t>
      </w:r>
      <w:proofErr w:type="gramEnd"/>
      <w:r w:rsidRPr="00EF391D">
        <w:t xml:space="preserve"> </w:t>
      </w:r>
    </w:p>
    <w:p w14:paraId="65369D90" w14:textId="77777777" w:rsidR="00B63F33" w:rsidRPr="00EF391D" w:rsidRDefault="00B63F33" w:rsidP="00E673A2">
      <w:pPr>
        <w:pStyle w:val="ArticleL4"/>
      </w:pPr>
      <w:r w:rsidRPr="00EF391D">
        <w:t xml:space="preserve">at any time within 30 Days following issuance of a written order by the PUC rejecting PUC Approval, or granting PUC Approval with conditions unacceptable to Company in its sole </w:t>
      </w:r>
      <w:proofErr w:type="gramStart"/>
      <w:r w:rsidRPr="00EF391D">
        <w:t>discretion;</w:t>
      </w:r>
      <w:proofErr w:type="gramEnd"/>
    </w:p>
    <w:p w14:paraId="7B477892" w14:textId="30B1EFFB" w:rsidR="00B63F33" w:rsidRPr="00EF391D" w:rsidRDefault="00B63F33" w:rsidP="00E673A2">
      <w:pPr>
        <w:pStyle w:val="ArticleL4"/>
        <w:rPr>
          <w:b/>
          <w:bCs/>
        </w:rPr>
      </w:pPr>
      <w:r w:rsidRPr="008D42D2">
        <w:t xml:space="preserve">at any time between the </w:t>
      </w:r>
      <w:r w:rsidRPr="008D42D2">
        <w:rPr>
          <w:iCs/>
        </w:rPr>
        <w:t>one-hundred eightieth (</w:t>
      </w:r>
      <w:r w:rsidRPr="008D42D2">
        <w:t>180</w:t>
      </w:r>
      <w:r w:rsidRPr="008D42D2">
        <w:rPr>
          <w:vertAlign w:val="superscript"/>
        </w:rPr>
        <w:t>th</w:t>
      </w:r>
      <w:r w:rsidRPr="008D42D2">
        <w:t>) and two hundred fifteenth (215</w:t>
      </w:r>
      <w:r w:rsidRPr="008D42D2">
        <w:rPr>
          <w:vertAlign w:val="superscript"/>
        </w:rPr>
        <w:t>th</w:t>
      </w:r>
      <w:r w:rsidRPr="008D42D2">
        <w:t>) Day</w:t>
      </w:r>
      <w:r w:rsidR="00773B62" w:rsidRPr="008D42D2">
        <w:t xml:space="preserve"> </w:t>
      </w:r>
      <w:r w:rsidRPr="008D42D2">
        <w:t xml:space="preserve">following Company’s application for PUC Approval, </w:t>
      </w:r>
      <w:r w:rsidRPr="008D42D2">
        <w:lastRenderedPageBreak/>
        <w:t>if prior to the date of such termination the PUC has not issued a written order granting or rejecting PUC Approval</w:t>
      </w:r>
      <w:r>
        <w:t xml:space="preserve">; </w:t>
      </w:r>
      <w:r w:rsidRPr="00EF391D">
        <w:rPr>
          <w:b/>
          <w:bCs/>
          <w:highlight w:val="yellow"/>
        </w:rPr>
        <w:t>[if applicable as specified in the RFP</w:t>
      </w:r>
      <w:r w:rsidRPr="00EF391D">
        <w:rPr>
          <w:b/>
          <w:bCs/>
        </w:rPr>
        <w:t>]</w:t>
      </w:r>
    </w:p>
    <w:p w14:paraId="7FE98261" w14:textId="77777777" w:rsidR="00B63F33" w:rsidRDefault="00B63F33" w:rsidP="00E673A2">
      <w:pPr>
        <w:pStyle w:val="ArticleL4"/>
      </w:pPr>
      <w:r>
        <w:t xml:space="preserve">at any time within thirty (30) Days following timely request for reconsideration (in whole or in any material part) by any third party with standing, of a written PUC order granting PUC Approval; and/or  </w:t>
      </w:r>
    </w:p>
    <w:p w14:paraId="3C3BC17E" w14:textId="77777777" w:rsidR="00B63F33" w:rsidRDefault="00B63F33" w:rsidP="00E673A2">
      <w:pPr>
        <w:pStyle w:val="ArticleL4"/>
      </w:pPr>
      <w:r>
        <w:t xml:space="preserve">at any time within thirty (30) Days following timely appeal by any party with standing, of a written PUC order granting PUC Approval.    </w:t>
      </w:r>
    </w:p>
    <w:p w14:paraId="5B7ADB29" w14:textId="77777777" w:rsidR="00B63F33" w:rsidRDefault="00B63F33" w:rsidP="00E673A2">
      <w:pPr>
        <w:pStyle w:val="BodyTextFirstIndent"/>
      </w:pPr>
      <w:r>
        <w:t>If Company is eligible but fails to terminate this PPA by the applicable date, Company shall be deemed to have waived its right to terminate this PPA for that reason, and this PPA shall remain in full force and effect thereafter.</w:t>
      </w:r>
    </w:p>
    <w:p w14:paraId="13368C50" w14:textId="0F103D07" w:rsidR="00B63F33" w:rsidRPr="00D15BA9" w:rsidRDefault="00B63F33" w:rsidP="00815841">
      <w:pPr>
        <w:pStyle w:val="ArticleL3"/>
        <w:keepNext w:val="0"/>
      </w:pPr>
      <w:bookmarkStart w:id="132" w:name="_Ref149810934"/>
      <w:r w:rsidRPr="00EF391D">
        <w:t>For purposes of this PPA, “</w:t>
      </w:r>
      <w:r w:rsidRPr="00EF391D">
        <w:rPr>
          <w:u w:val="single"/>
        </w:rPr>
        <w:t>PUC Approval</w:t>
      </w:r>
      <w:r w:rsidRPr="00EF391D">
        <w:t>” means</w:t>
      </w:r>
      <w:bookmarkStart w:id="133" w:name="_Toc433953975"/>
      <w:bookmarkStart w:id="134" w:name="_Toc433954133"/>
      <w:r w:rsidR="00815841">
        <w:rPr>
          <w:szCs w:val="24"/>
        </w:rPr>
        <w:t xml:space="preserve"> </w:t>
      </w:r>
      <w:r w:rsidR="00DB646C" w:rsidRPr="00EF391D">
        <w:t xml:space="preserve">a written order of the </w:t>
      </w:r>
      <w:bookmarkStart w:id="135" w:name="_Hlk47093069"/>
      <w:bookmarkStart w:id="136" w:name="_Toc433953977"/>
      <w:bookmarkStart w:id="137" w:name="_Toc433954135"/>
      <w:bookmarkEnd w:id="133"/>
      <w:bookmarkEnd w:id="134"/>
      <w:r w:rsidR="000D1B06" w:rsidRPr="00EF391D">
        <w:rPr>
          <w:rStyle w:val="BodyTextFirstIndentChar"/>
        </w:rPr>
        <w:t xml:space="preserve">MPUC and/or an Advance Determination of Prudency from the ND PSC, which alone or in combination </w:t>
      </w:r>
      <w:r w:rsidR="000D1B06" w:rsidRPr="00E673A2">
        <w:rPr>
          <w:rStyle w:val="BodyTextFirstIndentChar"/>
        </w:rPr>
        <w:t xml:space="preserve">make an affirmative determination that all costs incurred under this PPA are recoverable from Company’s retail customers pursuant to Applicable Law, subject only to the requirement that the MPUC and ND PSC (as applicable) retain ongoing prudency review of Company’s performance and </w:t>
      </w:r>
      <w:r w:rsidR="000D1B06">
        <w:t>administration of this PPA, as determined by Company in its sole discretion.</w:t>
      </w:r>
      <w:bookmarkEnd w:id="132"/>
      <w:bookmarkEnd w:id="135"/>
      <w:bookmarkEnd w:id="136"/>
      <w:bookmarkEnd w:id="137"/>
    </w:p>
    <w:p w14:paraId="2EB1996D" w14:textId="18C28BB8" w:rsidR="00B63F33" w:rsidRDefault="00B63F33" w:rsidP="00815841">
      <w:pPr>
        <w:pStyle w:val="ArticleL2"/>
        <w:keepNext w:val="0"/>
      </w:pPr>
      <w:bookmarkStart w:id="138" w:name="_Toc147494850"/>
      <w:bookmarkStart w:id="139" w:name="_Toc433953978"/>
      <w:bookmarkStart w:id="140" w:name="_Toc433954136"/>
      <w:bookmarkStart w:id="141" w:name="_Ref149743173"/>
      <w:r w:rsidRPr="00420E14">
        <w:rPr>
          <w:rStyle w:val="ArticleL2UnderlineChar"/>
        </w:rPr>
        <w:t>Other Company CPs</w:t>
      </w:r>
      <w:bookmarkEnd w:id="138"/>
      <w:r>
        <w:t xml:space="preserve">.  </w:t>
      </w:r>
      <w:r>
        <w:rPr>
          <w:i/>
        </w:rPr>
        <w:t>[</w:t>
      </w:r>
      <w:r>
        <w:rPr>
          <w:i/>
          <w:color w:val="FF0000"/>
          <w:highlight w:val="yellow"/>
        </w:rPr>
        <w:t>if any</w:t>
      </w:r>
      <w:r>
        <w:rPr>
          <w:i/>
        </w:rPr>
        <w:t>]</w:t>
      </w:r>
      <w:r>
        <w:t>.</w:t>
      </w:r>
      <w:bookmarkEnd w:id="139"/>
      <w:bookmarkEnd w:id="140"/>
      <w:bookmarkEnd w:id="141"/>
    </w:p>
    <w:p w14:paraId="6E57C58F" w14:textId="61CBFF49" w:rsidR="00B63F33" w:rsidRDefault="00B63F33" w:rsidP="00815841">
      <w:pPr>
        <w:pStyle w:val="ArticleL2"/>
        <w:keepNext w:val="0"/>
      </w:pPr>
      <w:bookmarkStart w:id="142" w:name="_Toc147494851"/>
      <w:bookmarkStart w:id="143" w:name="_Toc433953979"/>
      <w:bookmarkStart w:id="144" w:name="_Toc433954137"/>
      <w:bookmarkStart w:id="145" w:name="_Ref149743180"/>
      <w:r w:rsidRPr="00420E14">
        <w:rPr>
          <w:rStyle w:val="ArticleL2UnderlineChar"/>
        </w:rPr>
        <w:t>Seller CPs</w:t>
      </w:r>
      <w:bookmarkEnd w:id="142"/>
      <w:r>
        <w:t xml:space="preserve">.  </w:t>
      </w:r>
      <w:r>
        <w:rPr>
          <w:i/>
        </w:rPr>
        <w:t>[</w:t>
      </w:r>
      <w:r>
        <w:rPr>
          <w:i/>
          <w:color w:val="FF0000"/>
          <w:highlight w:val="yellow"/>
        </w:rPr>
        <w:t>if any - bid specific</w:t>
      </w:r>
      <w:r>
        <w:rPr>
          <w:i/>
        </w:rPr>
        <w:t>]</w:t>
      </w:r>
      <w:r>
        <w:t>.</w:t>
      </w:r>
      <w:bookmarkStart w:id="146" w:name="_Toc527109230"/>
      <w:bookmarkEnd w:id="129"/>
      <w:bookmarkEnd w:id="143"/>
      <w:bookmarkEnd w:id="144"/>
      <w:bookmarkEnd w:id="145"/>
    </w:p>
    <w:p w14:paraId="7A74AD3E" w14:textId="5E76F62A" w:rsidR="00B63F33" w:rsidRDefault="00B63F33" w:rsidP="00815841">
      <w:pPr>
        <w:pStyle w:val="ArticleL2"/>
        <w:keepNext w:val="0"/>
      </w:pPr>
      <w:bookmarkStart w:id="147" w:name="_Toc147494852"/>
      <w:r w:rsidRPr="00420E14">
        <w:rPr>
          <w:rStyle w:val="ArticleL2UnderlineChar"/>
        </w:rPr>
        <w:t>Return of Security Fund</w:t>
      </w:r>
      <w:bookmarkEnd w:id="147"/>
      <w:r>
        <w:t xml:space="preserve">. Following a termination pursuant to </w:t>
      </w:r>
      <w:r w:rsidRPr="00420E14">
        <w:rPr>
          <w:u w:val="single"/>
        </w:rPr>
        <w:t xml:space="preserve">Section </w:t>
      </w:r>
      <w:r w:rsidR="0058598E">
        <w:rPr>
          <w:u w:val="single"/>
        </w:rPr>
        <w:fldChar w:fldCharType="begin"/>
      </w:r>
      <w:r w:rsidR="0058598E">
        <w:rPr>
          <w:u w:val="single"/>
        </w:rPr>
        <w:instrText xml:space="preserve"> REF _Ref149743166 \w \h </w:instrText>
      </w:r>
      <w:r w:rsidR="0058598E">
        <w:rPr>
          <w:u w:val="single"/>
        </w:rPr>
      </w:r>
      <w:r w:rsidR="0058598E">
        <w:rPr>
          <w:u w:val="single"/>
        </w:rPr>
        <w:fldChar w:fldCharType="separate"/>
      </w:r>
      <w:r w:rsidR="0058598E">
        <w:rPr>
          <w:u w:val="single"/>
        </w:rPr>
        <w:t>6.1</w:t>
      </w:r>
      <w:r w:rsidR="0058598E">
        <w:rPr>
          <w:u w:val="single"/>
        </w:rPr>
        <w:fldChar w:fldCharType="end"/>
      </w:r>
      <w:r>
        <w:t xml:space="preserve"> [</w:t>
      </w:r>
      <w:r w:rsidRPr="00420E14">
        <w:rPr>
          <w:highlight w:val="yellow"/>
        </w:rPr>
        <w:t xml:space="preserve">or Section </w:t>
      </w:r>
      <w:r w:rsidR="0058598E">
        <w:rPr>
          <w:highlight w:val="yellow"/>
        </w:rPr>
        <w:fldChar w:fldCharType="begin"/>
      </w:r>
      <w:r w:rsidR="0058598E">
        <w:rPr>
          <w:highlight w:val="yellow"/>
        </w:rPr>
        <w:instrText xml:space="preserve"> REF _Ref149743173 \w \h </w:instrText>
      </w:r>
      <w:r w:rsidR="0058598E">
        <w:rPr>
          <w:highlight w:val="yellow"/>
        </w:rPr>
      </w:r>
      <w:r w:rsidR="0058598E">
        <w:rPr>
          <w:highlight w:val="yellow"/>
        </w:rPr>
        <w:fldChar w:fldCharType="separate"/>
      </w:r>
      <w:r w:rsidR="0058598E">
        <w:rPr>
          <w:highlight w:val="yellow"/>
        </w:rPr>
        <w:t>6.2</w:t>
      </w:r>
      <w:r w:rsidR="0058598E">
        <w:rPr>
          <w:highlight w:val="yellow"/>
        </w:rPr>
        <w:fldChar w:fldCharType="end"/>
      </w:r>
      <w:r>
        <w:t>] [</w:t>
      </w:r>
      <w:r w:rsidRPr="00420E14">
        <w:rPr>
          <w:highlight w:val="yellow"/>
        </w:rPr>
        <w:t xml:space="preserve">or </w:t>
      </w:r>
      <w:r w:rsidRPr="00420E14">
        <w:rPr>
          <w:highlight w:val="yellow"/>
          <w:u w:val="single"/>
        </w:rPr>
        <w:t xml:space="preserve">Section </w:t>
      </w:r>
      <w:r w:rsidR="0058598E">
        <w:rPr>
          <w:highlight w:val="yellow"/>
          <w:u w:val="single"/>
        </w:rPr>
        <w:fldChar w:fldCharType="begin"/>
      </w:r>
      <w:r w:rsidR="0058598E">
        <w:rPr>
          <w:highlight w:val="yellow"/>
          <w:u w:val="single"/>
        </w:rPr>
        <w:instrText xml:space="preserve"> REF _Ref149743180 \w \h </w:instrText>
      </w:r>
      <w:r w:rsidR="0058598E">
        <w:rPr>
          <w:highlight w:val="yellow"/>
          <w:u w:val="single"/>
        </w:rPr>
      </w:r>
      <w:r w:rsidR="0058598E">
        <w:rPr>
          <w:highlight w:val="yellow"/>
          <w:u w:val="single"/>
        </w:rPr>
        <w:fldChar w:fldCharType="separate"/>
      </w:r>
      <w:r w:rsidR="0058598E">
        <w:rPr>
          <w:highlight w:val="yellow"/>
          <w:u w:val="single"/>
        </w:rPr>
        <w:t>6.3</w:t>
      </w:r>
      <w:r w:rsidR="0058598E">
        <w:rPr>
          <w:highlight w:val="yellow"/>
          <w:u w:val="single"/>
        </w:rPr>
        <w:fldChar w:fldCharType="end"/>
      </w:r>
      <w:r w:rsidRPr="00420E14">
        <w:rPr>
          <w:u w:val="single"/>
        </w:rPr>
        <w:t>]</w:t>
      </w:r>
      <w:r>
        <w:t>, the Company will return to Seller the initial Security Fund within five (5) Business Days of such termination.</w:t>
      </w:r>
      <w:bookmarkEnd w:id="146"/>
    </w:p>
    <w:p w14:paraId="692724B3" w14:textId="00FD01F0" w:rsidR="00B63F33" w:rsidRDefault="00B63F33" w:rsidP="002B7809">
      <w:pPr>
        <w:pStyle w:val="ArticleL1"/>
      </w:pPr>
      <w:bookmarkStart w:id="148" w:name="_Toc288027257"/>
      <w:bookmarkStart w:id="149" w:name="_Toc433953980"/>
      <w:bookmarkStart w:id="150" w:name="_Toc433954138"/>
      <w:bookmarkStart w:id="151" w:name="_Toc147494853"/>
      <w:r>
        <w:t>Sale and Purchase</w:t>
      </w:r>
      <w:bookmarkEnd w:id="148"/>
      <w:bookmarkEnd w:id="149"/>
      <w:bookmarkEnd w:id="150"/>
      <w:bookmarkEnd w:id="151"/>
    </w:p>
    <w:p w14:paraId="1DB7C690" w14:textId="053FF9BB" w:rsidR="00B63F33" w:rsidRDefault="00B63F33" w:rsidP="002B7809">
      <w:pPr>
        <w:pStyle w:val="ArticleL2"/>
      </w:pPr>
      <w:bookmarkStart w:id="152" w:name="_Toc147494854"/>
      <w:bookmarkStart w:id="153" w:name="_Toc433953981"/>
      <w:bookmarkStart w:id="154" w:name="_Toc433954139"/>
      <w:bookmarkStart w:id="155" w:name="_Toc288027258"/>
      <w:r w:rsidRPr="00420E14">
        <w:rPr>
          <w:rStyle w:val="ArticleL2UnderlineChar"/>
        </w:rPr>
        <w:t>General Obligation</w:t>
      </w:r>
      <w:bookmarkEnd w:id="152"/>
      <w:r>
        <w:t>.</w:t>
      </w:r>
      <w:bookmarkEnd w:id="153"/>
      <w:bookmarkEnd w:id="154"/>
      <w:r>
        <w:t xml:space="preserve">  </w:t>
      </w:r>
      <w:bookmarkEnd w:id="155"/>
    </w:p>
    <w:p w14:paraId="2E494C7E" w14:textId="2D2EDA8A" w:rsidR="00B63F33" w:rsidRDefault="00B63F33" w:rsidP="00420E14">
      <w:pPr>
        <w:pStyle w:val="ArticleL3"/>
        <w:keepNext w:val="0"/>
      </w:pPr>
      <w:bookmarkStart w:id="156" w:name="_cp_change_27"/>
      <w:bookmarkStart w:id="157" w:name="_Ref149743304"/>
      <w:r w:rsidRPr="00BC316D">
        <w:rPr>
          <w:color w:val="000000" w:themeColor="text1"/>
        </w:rPr>
        <w:t>Subject to the provisions of this PPA, beginning</w:t>
      </w:r>
      <w:bookmarkEnd w:id="156"/>
      <w:r>
        <w:t xml:space="preserve"> on the Commercial Operation Date, Seller shall generate from the Facility, deliver to the Point of Delivery, and sell to Company, and Company shall receive and purchase at the Point of Delivery, the Renewable Energy, Ancillary Services and other products and services required by this PPA.  Seller shall </w:t>
      </w:r>
      <w:bookmarkStart w:id="158" w:name="_cp_change_29"/>
      <w:r w:rsidRPr="00BC316D">
        <w:rPr>
          <w:color w:val="000000" w:themeColor="text1"/>
        </w:rPr>
        <w:t>not</w:t>
      </w:r>
      <w:r w:rsidRPr="00BC316D">
        <w:rPr>
          <w:color w:val="000000" w:themeColor="text1"/>
          <w:u w:val="double" w:color="0000FF"/>
        </w:rPr>
        <w:t xml:space="preserve"> </w:t>
      </w:r>
      <w:bookmarkEnd w:id="158"/>
      <w:r>
        <w:t>curtail or interrupt deliveries of Renewable Energy to Company for economic reasons of any type</w:t>
      </w:r>
      <w:bookmarkStart w:id="159" w:name="_cp_change_34"/>
      <w:r w:rsidR="00BC316D">
        <w:t>.</w:t>
      </w:r>
      <w:bookmarkEnd w:id="157"/>
      <w:r>
        <w:rPr>
          <w:color w:val="0000FF"/>
          <w:u w:val="double" w:color="0000FF"/>
          <w:lang w:val="en-GB"/>
        </w:rPr>
        <w:t xml:space="preserve"> </w:t>
      </w:r>
      <w:bookmarkEnd w:id="159"/>
    </w:p>
    <w:p w14:paraId="4D0850DE" w14:textId="77777777" w:rsidR="00B63F33" w:rsidRDefault="00B63F33" w:rsidP="00420E14">
      <w:pPr>
        <w:pStyle w:val="ArticleL3"/>
        <w:keepNext w:val="0"/>
      </w:pPr>
      <w:r>
        <w:t>Seller shall not sell any products or services required by this PPA to any third party.</w:t>
      </w:r>
    </w:p>
    <w:p w14:paraId="53133F58" w14:textId="77777777" w:rsidR="00B63F33" w:rsidRDefault="00B63F33" w:rsidP="00420E14">
      <w:pPr>
        <w:pStyle w:val="ArticleL3"/>
        <w:keepNext w:val="0"/>
      </w:pPr>
      <w:r>
        <w:t xml:space="preserve">Title and risk of loss of the products and services transacted by this PPA shall transfer from Seller to Company at the Point of Delivery. </w:t>
      </w:r>
    </w:p>
    <w:p w14:paraId="247205FC" w14:textId="65B05D5C" w:rsidR="00B63F33" w:rsidRDefault="00B63F33" w:rsidP="002B7809">
      <w:pPr>
        <w:pStyle w:val="ArticleL2"/>
      </w:pPr>
      <w:bookmarkStart w:id="160" w:name="_Ref25463034"/>
      <w:bookmarkStart w:id="161" w:name="_Toc147494855"/>
      <w:bookmarkStart w:id="162" w:name="_Toc288027260"/>
      <w:bookmarkStart w:id="163" w:name="_Toc433953982"/>
      <w:bookmarkStart w:id="164" w:name="_Toc433954140"/>
      <w:r w:rsidRPr="00420E14">
        <w:rPr>
          <w:rStyle w:val="ArticleL2UnderlineChar"/>
        </w:rPr>
        <w:lastRenderedPageBreak/>
        <w:t>AGC</w:t>
      </w:r>
      <w:bookmarkEnd w:id="160"/>
      <w:bookmarkEnd w:id="161"/>
      <w:r>
        <w:t>.</w:t>
      </w:r>
      <w:bookmarkEnd w:id="162"/>
      <w:r>
        <w:t xml:space="preserve">  Beginning on the Commercial Operation Date, Company shall dispatch the Facility through the EMCC AGC system.  Seller shall ensure that, throughout the Term:</w:t>
      </w:r>
      <w:bookmarkEnd w:id="163"/>
      <w:bookmarkEnd w:id="164"/>
    </w:p>
    <w:p w14:paraId="455C676B" w14:textId="7633F4C0" w:rsidR="00B63F33" w:rsidRDefault="00B63F33" w:rsidP="002B7809">
      <w:pPr>
        <w:pStyle w:val="ArticleL3"/>
      </w:pPr>
      <w:r>
        <w:t xml:space="preserve">the SCADA System signal is capable of functioning on all AGC Set Points within the margin of error specified in the manufacturer’s energy set point margin of </w:t>
      </w:r>
      <w:r w:rsidR="008F55F2">
        <w:t>error; and</w:t>
      </w:r>
    </w:p>
    <w:p w14:paraId="04F849AB" w14:textId="77777777" w:rsidR="00B63F33" w:rsidRDefault="00B63F33" w:rsidP="002B7809">
      <w:pPr>
        <w:pStyle w:val="ArticleL3"/>
      </w:pPr>
      <w:r>
        <w:t>the Facility AGC Remote/Local status is in “Remote” set-point control during normal operations.</w:t>
      </w:r>
    </w:p>
    <w:p w14:paraId="442ED7C6" w14:textId="2F52599A" w:rsidR="00B63F33" w:rsidRDefault="00B63F33" w:rsidP="002B7809">
      <w:pPr>
        <w:pStyle w:val="ArticleL2"/>
      </w:pPr>
      <w:bookmarkStart w:id="165" w:name="_Toc147494856"/>
      <w:bookmarkStart w:id="166" w:name="_Hlk46213267"/>
      <w:bookmarkStart w:id="167" w:name="_Toc433953984"/>
      <w:bookmarkStart w:id="168" w:name="_Toc433954142"/>
      <w:bookmarkStart w:id="169" w:name="_Hlk47093529"/>
      <w:bookmarkStart w:id="170" w:name="_Toc433953983"/>
      <w:bookmarkStart w:id="171" w:name="_Toc433954141"/>
      <w:bookmarkStart w:id="172" w:name="_Toc288027261"/>
      <w:r w:rsidRPr="00420E14">
        <w:rPr>
          <w:rStyle w:val="ArticleL2UnderlineChar"/>
        </w:rPr>
        <w:t>Environmental Attributes</w:t>
      </w:r>
      <w:bookmarkEnd w:id="165"/>
      <w:r>
        <w:t xml:space="preserve">.  The Parties acknowledge that existing and future Applicable Laws create significant value in the ownership, use and allocation of </w:t>
      </w:r>
      <w:bookmarkStart w:id="173" w:name="_Hlk46133952"/>
      <w:r>
        <w:t>Environmental Attributes</w:t>
      </w:r>
      <w:bookmarkEnd w:id="173"/>
      <w:r>
        <w:t xml:space="preserve">.  To the full extent allowed by Applicable Law, Seller hereby assigns to Company </w:t>
      </w:r>
      <w:r>
        <w:rPr>
          <w:bCs/>
        </w:rPr>
        <w:t>(</w:t>
      </w:r>
      <w:r>
        <w:t xml:space="preserve">and Company shall own and be entitled to claim) all Environmental Attributes existing or created during the Term associated with the Facility and the </w:t>
      </w:r>
      <w:bookmarkEnd w:id="166"/>
      <w:r>
        <w:t>Renewable Energy, at no additional charge to Company under this PPA.</w:t>
      </w:r>
    </w:p>
    <w:p w14:paraId="541898AD" w14:textId="77777777" w:rsidR="00B63F33" w:rsidRDefault="00B63F33" w:rsidP="002B7809">
      <w:pPr>
        <w:pStyle w:val="ArticleL3"/>
      </w:pPr>
      <w:bookmarkStart w:id="174" w:name="_Hlk46213351"/>
      <w:r>
        <w:t>Seller hereby irrevocably assigns to Company all rights, title and authority for Company to register the Facility as an Eligible Energy Resource and own, hold and manage the Environmental Attributes associated with the Facility in Company’s own name and to Company’s account, including any rights associated with any renewable energy information or tracking system that exists or may be established (including participation in any applicable REC Registration Program) with regard to monitoring, registering, tracking, certifying, and/or trading such Environmental Attributes.  Seller hereby authorizes Company to act as its agent for the purposes of registering the Facility as an Eligible Energy Resource, and tracking, certifying, registering and reporting such Environmental Attributes</w:t>
      </w:r>
      <w:proofErr w:type="gramStart"/>
      <w:r>
        <w:t xml:space="preserve">.  </w:t>
      </w:r>
      <w:proofErr w:type="gramEnd"/>
      <w:r>
        <w:t>Seller grants to Company full authority to hold, use, sell and/or trade such Environmental Attributes for the Company’s own account in all applicable renewable energy information or tracking systems.  U</w:t>
      </w:r>
      <w:r>
        <w:rPr>
          <w:bCs/>
        </w:rPr>
        <w:t xml:space="preserve">pon the request of Company, at no cost to Company, (i) Seller shall deliver or cause to be delivered to Company appropriate attestations/certifications of such </w:t>
      </w:r>
      <w:r>
        <w:t>Environmental Attributes</w:t>
      </w:r>
      <w:r>
        <w:rPr>
          <w:bCs/>
        </w:rPr>
        <w:t xml:space="preserve">, and (ii) Seller shall </w:t>
      </w:r>
      <w:r>
        <w:t>cooperate with Company’s tracking, registration, reporting and certification of such Environmental Attributes.</w:t>
      </w:r>
      <w:bookmarkEnd w:id="174"/>
    </w:p>
    <w:p w14:paraId="4EA60534" w14:textId="4E4040FE" w:rsidR="00B63F33" w:rsidRDefault="00B63F33" w:rsidP="002B7809">
      <w:pPr>
        <w:pStyle w:val="ArticleL3"/>
      </w:pPr>
      <w:bookmarkStart w:id="175" w:name="_Hlk46213501"/>
      <w:r>
        <w:t>Prior to the Commercial Operation Date, Seller shall complete and return to Company all applications and forms and provide all supporting documentation required by Applicable Law for accreditation and assignment of all Environmental Attributes.  Such applications, forms and supporting documentation include but are not limited to: (i) Assignment of Registration rights, (ii) Schedule A Form, (iii) EIA 860 Verification, (iv) the Interconnection Agreement, (v) Manufacturer’s specifications for the [</w:t>
      </w:r>
      <w:r>
        <w:rPr>
          <w:highlight w:val="yellow"/>
        </w:rPr>
        <w:t>turbines</w:t>
      </w:r>
      <w:r>
        <w:t>] [</w:t>
      </w:r>
      <w:r>
        <w:rPr>
          <w:highlight w:val="yellow"/>
        </w:rPr>
        <w:t>panels</w:t>
      </w:r>
      <w:r>
        <w:t xml:space="preserve">], (vi) revenue meter number and (vii) COD Notice. </w:t>
      </w:r>
      <w:bookmarkEnd w:id="175"/>
      <w:r>
        <w:t xml:space="preserve">   </w:t>
      </w:r>
    </w:p>
    <w:p w14:paraId="52228C5B" w14:textId="77777777" w:rsidR="00B63F33" w:rsidRDefault="00B63F33" w:rsidP="002B7809">
      <w:pPr>
        <w:pStyle w:val="ArticleL3"/>
      </w:pPr>
      <w:bookmarkStart w:id="176" w:name="_Ref149809893"/>
      <w:bookmarkStart w:id="177" w:name="_Hlk46213595"/>
      <w:r>
        <w:t>For purposes hereof, “</w:t>
      </w:r>
      <w:r>
        <w:rPr>
          <w:u w:val="single"/>
        </w:rPr>
        <w:t>Environmental Attributes</w:t>
      </w:r>
      <w:r>
        <w:t>” includes but is not limited to existing and future, (i) Renewable Energy Credits, (ii) environmental credits, benefits or attributes, (iii) emissions reductions, (iv) avoided emissions and reporting rights for avoided emissions of pollutants to the air, soils or waters, such as sulfur oxides (</w:t>
      </w:r>
      <w:proofErr w:type="spellStart"/>
      <w:r>
        <w:t>SO</w:t>
      </w:r>
      <w:r>
        <w:rPr>
          <w:vertAlign w:val="subscript"/>
        </w:rPr>
        <w:t>x</w:t>
      </w:r>
      <w:proofErr w:type="spellEnd"/>
      <w:r>
        <w:t>), nitrogen oxides (NO</w:t>
      </w:r>
      <w:r>
        <w:rPr>
          <w:vertAlign w:val="subscript"/>
        </w:rPr>
        <w:t>x</w:t>
      </w:r>
      <w:r>
        <w:t>), carbon monoxide (CO), greenhouse gases (such as carbon dioxide (CO</w:t>
      </w:r>
      <w:r>
        <w:rPr>
          <w:vertAlign w:val="subscript"/>
        </w:rPr>
        <w:t>2</w:t>
      </w:r>
      <w:r>
        <w:t>), methane (CH</w:t>
      </w:r>
      <w:r>
        <w:rPr>
          <w:vertAlign w:val="subscript"/>
        </w:rPr>
        <w:t>4</w:t>
      </w:r>
      <w:r>
        <w:t>), nitrous oxide (N</w:t>
      </w:r>
      <w:r>
        <w:rPr>
          <w:vertAlign w:val="subscript"/>
        </w:rPr>
        <w:t>2</w:t>
      </w:r>
      <w:r>
        <w:t xml:space="preserve">O), hydrofluorocarbons (HFCs), </w:t>
      </w:r>
      <w:r>
        <w:lastRenderedPageBreak/>
        <w:t>perfluorocarbons (PFCs) and sulfur hexafluoride (SF</w:t>
      </w:r>
      <w:r>
        <w:rPr>
          <w:vertAlign w:val="subscript"/>
        </w:rPr>
        <w:t>6</w:t>
      </w:r>
      <w:r>
        <w:t>)) that have been or may in the future be determined by the United Nations Intergovernmental Panel on Climate Change or by Applicable Law to contribute to the threat of climate change; (v) avoidances (including emission rate credits), offsets, allowances and green tags, and (vi) zero-emission electricity credits, that are attributable to the Facility during the Term and/or Renewable Energy under this PPA, recognized by Applicable Law, including any rights to compensation therefor.</w:t>
      </w:r>
      <w:bookmarkEnd w:id="176"/>
      <w:r>
        <w:t xml:space="preserve"> </w:t>
      </w:r>
      <w:bookmarkEnd w:id="177"/>
      <w:r>
        <w:t xml:space="preserve"> </w:t>
      </w:r>
    </w:p>
    <w:p w14:paraId="126F718D" w14:textId="77777777" w:rsidR="00B63F33" w:rsidRDefault="00B63F33" w:rsidP="002B7809">
      <w:pPr>
        <w:pStyle w:val="ArticleL3"/>
      </w:pPr>
      <w:r>
        <w:t>For the avoidance of doubt, Environmental Attributes exclude: (i) PTCs, ITCs and other local, state or federal tax credits providing a tax benefit to Seller based on ownership of the Facility or energy production therefrom, including the [</w:t>
      </w:r>
      <w:r>
        <w:rPr>
          <w:i/>
          <w:color w:val="FF0000"/>
          <w:highlight w:val="yellow"/>
        </w:rPr>
        <w:t xml:space="preserve">wind </w:t>
      </w:r>
      <w:r>
        <w:rPr>
          <w:iCs/>
        </w:rPr>
        <w:t>PTC</w:t>
      </w:r>
      <w:r>
        <w:t>] [</w:t>
      </w:r>
      <w:r>
        <w:rPr>
          <w:i/>
          <w:color w:val="FF0000"/>
          <w:highlight w:val="yellow"/>
        </w:rPr>
        <w:t>solar</w:t>
      </w:r>
      <w:r>
        <w:rPr>
          <w:i/>
        </w:rPr>
        <w:t xml:space="preserve"> </w:t>
      </w:r>
      <w:r>
        <w:rPr>
          <w:iCs/>
        </w:rPr>
        <w:t>ITC</w:t>
      </w:r>
      <w:r>
        <w:t>] that may be available to Seller with respect to the Facility under IRC §[</w:t>
      </w:r>
      <w:r>
        <w:rPr>
          <w:i/>
          <w:color w:val="FF0000"/>
          <w:highlight w:val="yellow"/>
        </w:rPr>
        <w:t>wind</w:t>
      </w:r>
      <w:r>
        <w:rPr>
          <w:iCs/>
        </w:rPr>
        <w:t xml:space="preserve"> 45</w:t>
      </w:r>
      <w:r>
        <w:t>] [</w:t>
      </w:r>
      <w:r>
        <w:rPr>
          <w:i/>
          <w:color w:val="FF0000"/>
          <w:highlight w:val="yellow"/>
        </w:rPr>
        <w:t>solar</w:t>
      </w:r>
      <w:r>
        <w:rPr>
          <w:iCs/>
        </w:rPr>
        <w:t xml:space="preserve"> 48</w:t>
      </w:r>
      <w:r>
        <w:t>], and (ii) depreciation and other tax benefits arising from ownership or operation of the Facility.</w:t>
      </w:r>
    </w:p>
    <w:p w14:paraId="5863F6AD" w14:textId="3D1EDF90" w:rsidR="00B63F33" w:rsidRDefault="00B63F33" w:rsidP="002B7809">
      <w:pPr>
        <w:pStyle w:val="ArticleL2"/>
      </w:pPr>
      <w:bookmarkStart w:id="178" w:name="_Toc147494857"/>
      <w:bookmarkStart w:id="179" w:name="_Hlk46213685"/>
      <w:r w:rsidRPr="00420E14">
        <w:rPr>
          <w:rStyle w:val="ArticleL2UnderlineChar"/>
        </w:rPr>
        <w:t>Ancillary Services</w:t>
      </w:r>
      <w:bookmarkEnd w:id="178"/>
      <w:r>
        <w:t xml:space="preserve">.  </w:t>
      </w:r>
    </w:p>
    <w:bookmarkEnd w:id="167"/>
    <w:bookmarkEnd w:id="168"/>
    <w:p w14:paraId="0DFB3D7E" w14:textId="77777777" w:rsidR="00B63F33" w:rsidRDefault="00B63F33" w:rsidP="002B7809">
      <w:pPr>
        <w:pStyle w:val="ArticleL3"/>
      </w:pPr>
      <w:r>
        <w:t>During the Term, Seller shall make available to Company and Company shall own, all Ancillary Services associated with the Facility, including but not limited to the sole right to sell the Ancillary Services associated with the Facility and to retain all revenues therefrom.  Seller shall use Commercially Reasonable Efforts to maximize the Ancillary Services available from the Facility.</w:t>
      </w:r>
    </w:p>
    <w:p w14:paraId="5229CC83" w14:textId="69853AB1" w:rsidR="00FE1588" w:rsidRDefault="00B63F33" w:rsidP="002B7809">
      <w:pPr>
        <w:pStyle w:val="ArticleL3"/>
      </w:pPr>
      <w:bookmarkStart w:id="180" w:name="_Ref149743223"/>
      <w:r>
        <w:t xml:space="preserve">Any compensation Seller receives under the Interconnection Agreement or otherwise from third parties for Ancillary Services shall be provided to Company at no additional cost to Company under this PPA.  To implement the foregoing, Seller shall credit Company, as a reduction to Seller’s monthly invoice or other mutually-agreed mechanism, for any compensation that Seller receives from third parties for such Ancillary Services; </w:t>
      </w:r>
      <w:r>
        <w:rPr>
          <w:i/>
        </w:rPr>
        <w:t>provided</w:t>
      </w:r>
      <w:r>
        <w:t xml:space="preserve">, that if a Governmental Authority or Transmission Authority implements new or revised requirements for generators to create, modify, or supply Ancillary Services, requiring Seller to install additional equipment after the Effective Date to meet such requirements, then Seller, after consultation with Company shall, if requested to do so by Company, install any such additional equipment and shall, shall be allowed to reduce the amount to be credited to Company for Ancillary Services by an amount sufficient to recover the cost of such additional equipment (up to the amount of any cap agreed to by the Parties for such work).  Any cost not so recovered by Seller in any billing period shall be carried forward as a reduction of the amount of the credit in subsequent billing periods. </w:t>
      </w:r>
      <w:bookmarkStart w:id="181" w:name="_Hlk143700572"/>
      <w:r>
        <w:t xml:space="preserve">The invoice for the final billing period of the Term shall include any costs not yet recovered by Seller </w:t>
      </w:r>
      <w:proofErr w:type="gramStart"/>
      <w:r>
        <w:t>pursuant to</w:t>
      </w:r>
      <w:proofErr w:type="gramEnd"/>
      <w:r>
        <w:t xml:space="preserve"> this </w:t>
      </w:r>
      <w:r>
        <w:rPr>
          <w:u w:val="single"/>
        </w:rPr>
        <w:t xml:space="preserve">Section </w:t>
      </w:r>
      <w:r w:rsidR="0058598E">
        <w:rPr>
          <w:u w:val="single"/>
        </w:rPr>
        <w:fldChar w:fldCharType="begin"/>
      </w:r>
      <w:r w:rsidR="0058598E">
        <w:rPr>
          <w:u w:val="single"/>
        </w:rPr>
        <w:instrText xml:space="preserve"> REF _Ref149743223 \w \h </w:instrText>
      </w:r>
      <w:r w:rsidR="0058598E">
        <w:rPr>
          <w:u w:val="single"/>
        </w:rPr>
      </w:r>
      <w:r w:rsidR="0058598E">
        <w:rPr>
          <w:u w:val="single"/>
        </w:rPr>
        <w:fldChar w:fldCharType="separate"/>
      </w:r>
      <w:r w:rsidR="0058598E">
        <w:rPr>
          <w:u w:val="single"/>
        </w:rPr>
        <w:t>7.4(B)</w:t>
      </w:r>
      <w:r w:rsidR="0058598E">
        <w:rPr>
          <w:u w:val="single"/>
        </w:rPr>
        <w:fldChar w:fldCharType="end"/>
      </w:r>
      <w:r>
        <w:rPr>
          <w:u w:val="single"/>
        </w:rPr>
        <w:t>.</w:t>
      </w:r>
      <w:bookmarkEnd w:id="180"/>
      <w:bookmarkEnd w:id="181"/>
    </w:p>
    <w:p w14:paraId="1E7534E0" w14:textId="512E418E" w:rsidR="00B63F33" w:rsidRDefault="00B63F33" w:rsidP="002B7809">
      <w:pPr>
        <w:pStyle w:val="ArticleL3"/>
      </w:pPr>
      <w:bookmarkStart w:id="182" w:name="_Ref149809228"/>
      <w:bookmarkEnd w:id="169"/>
      <w:r>
        <w:t>For purposes hereof, “</w:t>
      </w:r>
      <w:r>
        <w:rPr>
          <w:u w:val="single"/>
        </w:rPr>
        <w:t>Ancillary Services</w:t>
      </w:r>
      <w:r>
        <w:t xml:space="preserve">” means any service associated, directly or indirectly, with the reliable generation and/or transmission of energy from the Facility from time to time, including but not limited to: operating reserves, ramp capability, reactive supply, reactive supply capability, voltage control, voltage control capability, and any rights to compensation for any of these services. “Ancillary Services” also includes any other identified service as an “ancillary service” or “other ancillary service” in the Transmission Tariff. For the avoidance of doubt, “Ancillary Service” includes any service associated, directly or indirectly, with the reliable generation and/or transmission of energy from the Facility, regardless of whether the Facility, the </w:t>
      </w:r>
      <w:r>
        <w:lastRenderedPageBreak/>
        <w:t>Transmission Authority or the Company is deemed to be the service provider for the service.</w:t>
      </w:r>
      <w:bookmarkEnd w:id="182"/>
      <w:r>
        <w:t xml:space="preserve"> </w:t>
      </w:r>
    </w:p>
    <w:p w14:paraId="117A2628" w14:textId="07187C10" w:rsidR="00B63F33" w:rsidRDefault="00B63F33" w:rsidP="002B7809">
      <w:pPr>
        <w:pStyle w:val="ArticleL1"/>
      </w:pPr>
      <w:bookmarkStart w:id="183" w:name="_DV_M355"/>
      <w:bookmarkStart w:id="184" w:name="_DV_M357"/>
      <w:bookmarkStart w:id="185" w:name="_DV_M358"/>
      <w:bookmarkStart w:id="186" w:name="_DV_M359"/>
      <w:bookmarkStart w:id="187" w:name="_DV_M360"/>
      <w:bookmarkStart w:id="188" w:name="_DV_M361"/>
      <w:bookmarkStart w:id="189" w:name="_DV_M362"/>
      <w:bookmarkStart w:id="190" w:name="_DV_M363"/>
      <w:bookmarkStart w:id="191" w:name="_DV_M364"/>
      <w:bookmarkStart w:id="192" w:name="_DV_M365"/>
      <w:bookmarkStart w:id="193" w:name="_DV_M366"/>
      <w:bookmarkStart w:id="194" w:name="_DV_M367"/>
      <w:bookmarkStart w:id="195" w:name="_DV_M368"/>
      <w:bookmarkStart w:id="196" w:name="_DV_M369"/>
      <w:bookmarkStart w:id="197" w:name="_DV_M370"/>
      <w:bookmarkStart w:id="198" w:name="_DV_M371"/>
      <w:bookmarkStart w:id="199" w:name="_Toc288027262"/>
      <w:bookmarkStart w:id="200" w:name="_Toc433953985"/>
      <w:bookmarkStart w:id="201" w:name="_Toc433954143"/>
      <w:bookmarkStart w:id="202" w:name="_Toc147494858"/>
      <w:bookmarkStart w:id="203" w:name="_Ref149808863"/>
      <w:bookmarkStart w:id="204" w:name="_Ref149811662"/>
      <w:bookmarkEnd w:id="170"/>
      <w:bookmarkEnd w:id="171"/>
      <w:bookmarkEnd w:id="172"/>
      <w:bookmarkEnd w:id="179"/>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r>
        <w:t>Payment Calculations</w:t>
      </w:r>
      <w:bookmarkEnd w:id="199"/>
      <w:bookmarkEnd w:id="200"/>
      <w:bookmarkEnd w:id="201"/>
      <w:bookmarkEnd w:id="202"/>
      <w:bookmarkEnd w:id="203"/>
      <w:bookmarkEnd w:id="204"/>
    </w:p>
    <w:p w14:paraId="16168987" w14:textId="515C21C4" w:rsidR="00B63F33" w:rsidRDefault="00B63F33" w:rsidP="002B7809">
      <w:pPr>
        <w:pStyle w:val="ArticleL2"/>
      </w:pPr>
      <w:bookmarkStart w:id="205" w:name="_Toc147494859"/>
      <w:bookmarkStart w:id="206" w:name="_Toc433953986"/>
      <w:bookmarkStart w:id="207" w:name="_Toc433954144"/>
      <w:bookmarkStart w:id="208" w:name="_Toc288027263"/>
      <w:r w:rsidRPr="00420E14">
        <w:rPr>
          <w:rStyle w:val="ArticleL2UnderlineChar"/>
        </w:rPr>
        <w:t>Payment for Renewable Energy</w:t>
      </w:r>
      <w:bookmarkEnd w:id="205"/>
      <w:r>
        <w:t>.</w:t>
      </w:r>
      <w:bookmarkEnd w:id="206"/>
      <w:bookmarkEnd w:id="207"/>
    </w:p>
    <w:p w14:paraId="79A6ADF9" w14:textId="77777777" w:rsidR="00B63F33" w:rsidRDefault="00B63F33" w:rsidP="002B7809">
      <w:pPr>
        <w:pStyle w:val="ArticleL3"/>
      </w:pPr>
      <w:r>
        <w:t xml:space="preserve">Company shall pay Seller </w:t>
      </w:r>
      <w:bookmarkStart w:id="209" w:name="_Hlk47093630"/>
      <w:r>
        <w:t>[</w:t>
      </w:r>
      <w:r>
        <w:rPr>
          <w:highlight w:val="yellow"/>
        </w:rPr>
        <w:t>_____</w:t>
      </w:r>
      <w:r>
        <w:t>] [</w:t>
      </w:r>
      <w:r>
        <w:rPr>
          <w:highlight w:val="yellow"/>
        </w:rPr>
        <w:t>Number derived by multiplying 70% by the Renewable Energy Payment Rate for the first Commercial Operation Year.  Can be deleted if there is only one</w:t>
      </w:r>
      <w:r>
        <w:t xml:space="preserve"> </w:t>
      </w:r>
      <w:r>
        <w:rPr>
          <w:highlight w:val="yellow"/>
        </w:rPr>
        <w:t>Renewable</w:t>
      </w:r>
      <w:r>
        <w:t xml:space="preserve"> </w:t>
      </w:r>
      <w:r>
        <w:rPr>
          <w:highlight w:val="yellow"/>
        </w:rPr>
        <w:t>Energy Payment Rate</w:t>
      </w:r>
      <w:r>
        <w:t xml:space="preserve">] </w:t>
      </w:r>
      <w:bookmarkEnd w:id="209"/>
      <w:r>
        <w:t xml:space="preserve">for all Test Energy delivered to Company. </w:t>
      </w:r>
    </w:p>
    <w:p w14:paraId="0A6D1090" w14:textId="6BF8DB91" w:rsidR="00B63F33" w:rsidRDefault="00B63F33" w:rsidP="002B7809">
      <w:pPr>
        <w:pStyle w:val="ArticleL3"/>
      </w:pPr>
      <w:r>
        <w:t xml:space="preserve"> </w:t>
      </w:r>
      <w:bookmarkStart w:id="210" w:name="_Ref149810128"/>
      <w:r>
        <w:t xml:space="preserve">Subject to </w:t>
      </w:r>
      <w:r w:rsidRPr="005357FF">
        <w:rPr>
          <w:u w:val="single"/>
        </w:rPr>
        <w:t xml:space="preserve">Section </w:t>
      </w:r>
      <w:r w:rsidR="0058598E">
        <w:rPr>
          <w:u w:val="single"/>
        </w:rPr>
        <w:fldChar w:fldCharType="begin"/>
      </w:r>
      <w:r w:rsidR="0058598E">
        <w:rPr>
          <w:u w:val="single"/>
        </w:rPr>
        <w:instrText xml:space="preserve"> REF _Ref149743236 \w \h </w:instrText>
      </w:r>
      <w:r w:rsidR="0058598E">
        <w:rPr>
          <w:u w:val="single"/>
        </w:rPr>
      </w:r>
      <w:r w:rsidR="0058598E">
        <w:rPr>
          <w:u w:val="single"/>
        </w:rPr>
        <w:fldChar w:fldCharType="separate"/>
      </w:r>
      <w:r w:rsidR="0058598E">
        <w:rPr>
          <w:u w:val="single"/>
        </w:rPr>
        <w:t>8.2</w:t>
      </w:r>
      <w:r w:rsidR="0058598E">
        <w:rPr>
          <w:u w:val="single"/>
        </w:rPr>
        <w:fldChar w:fldCharType="end"/>
      </w:r>
      <w:r>
        <w:t xml:space="preserve">, commencing on the Commercial Operation Date, each month the Company shall pay to Seller the Renewable Energy Payment Rate for all Renewable Energy delivered to Company during that month (the “Monthly Energy Payment”), subject to reduction as set forth in </w:t>
      </w:r>
      <w:r>
        <w:rPr>
          <w:u w:val="single"/>
        </w:rPr>
        <w:t xml:space="preserve">Section </w:t>
      </w:r>
      <w:r w:rsidR="0058598E">
        <w:rPr>
          <w:u w:val="single"/>
        </w:rPr>
        <w:fldChar w:fldCharType="begin"/>
      </w:r>
      <w:r w:rsidR="0058598E">
        <w:rPr>
          <w:u w:val="single"/>
        </w:rPr>
        <w:instrText xml:space="preserve"> REF _Ref149743251 \w \h </w:instrText>
      </w:r>
      <w:r w:rsidR="0058598E">
        <w:rPr>
          <w:u w:val="single"/>
        </w:rPr>
      </w:r>
      <w:r w:rsidR="0058598E">
        <w:rPr>
          <w:u w:val="single"/>
        </w:rPr>
        <w:fldChar w:fldCharType="separate"/>
      </w:r>
      <w:r w:rsidR="0058598E">
        <w:rPr>
          <w:u w:val="single"/>
        </w:rPr>
        <w:t>8.4</w:t>
      </w:r>
      <w:r w:rsidR="0058598E">
        <w:rPr>
          <w:u w:val="single"/>
        </w:rPr>
        <w:fldChar w:fldCharType="end"/>
      </w:r>
      <w:r>
        <w:t xml:space="preserve">,  </w:t>
      </w:r>
      <w:r>
        <w:rPr>
          <w:i/>
        </w:rPr>
        <w:t>provided</w:t>
      </w:r>
      <w:r>
        <w:t xml:space="preserve"> that Company shall never be required to pay for net instantaneous output of the Facility (as measured at the Point of Delivery) in excess of the Generation Limit.  For purposes of this PPA the “</w:t>
      </w:r>
      <w:r>
        <w:rPr>
          <w:u w:val="single"/>
        </w:rPr>
        <w:t>Generation Limit</w:t>
      </w:r>
      <w:r>
        <w:t>” shall be the lesser of the (i) Nameplate Capacity or (ii) the power transfer limit as established in the Interconnection Agreement.</w:t>
      </w:r>
      <w:bookmarkEnd w:id="210"/>
      <w:r>
        <w:t xml:space="preserve">    </w:t>
      </w:r>
      <w:bookmarkStart w:id="211" w:name="_Hlk46225350"/>
    </w:p>
    <w:bookmarkEnd w:id="211"/>
    <w:p w14:paraId="15211565" w14:textId="0052D420" w:rsidR="00B63F33" w:rsidRDefault="00341E53" w:rsidP="002B7809">
      <w:pPr>
        <w:pStyle w:val="ArticleL3"/>
      </w:pPr>
      <w:r w:rsidRPr="00EF391D">
        <w:t xml:space="preserve">The </w:t>
      </w:r>
      <w:r>
        <w:t xml:space="preserve">Renewable Energy Payment Rate shall be </w:t>
      </w:r>
      <w:proofErr w:type="gramStart"/>
      <w:r>
        <w:t>deemed</w:t>
      </w:r>
      <w:proofErr w:type="gramEnd"/>
      <w:r>
        <w:t xml:space="preserve"> Confidential Information for purposes of </w:t>
      </w:r>
      <w:r>
        <w:rPr>
          <w:u w:val="single"/>
        </w:rPr>
        <w:t xml:space="preserve">Section </w:t>
      </w:r>
      <w:r w:rsidR="0058598E">
        <w:rPr>
          <w:u w:val="single"/>
        </w:rPr>
        <w:fldChar w:fldCharType="begin"/>
      </w:r>
      <w:r w:rsidR="0058598E">
        <w:rPr>
          <w:u w:val="single"/>
        </w:rPr>
        <w:instrText xml:space="preserve"> REF _Ref149743262 \w \h </w:instrText>
      </w:r>
      <w:r w:rsidR="0058598E">
        <w:rPr>
          <w:u w:val="single"/>
        </w:rPr>
      </w:r>
      <w:r w:rsidR="0058598E">
        <w:rPr>
          <w:u w:val="single"/>
        </w:rPr>
        <w:fldChar w:fldCharType="separate"/>
      </w:r>
      <w:r w:rsidR="0058598E">
        <w:rPr>
          <w:u w:val="single"/>
        </w:rPr>
        <w:t>20.18</w:t>
      </w:r>
      <w:r w:rsidR="0058598E">
        <w:rPr>
          <w:u w:val="single"/>
        </w:rPr>
        <w:fldChar w:fldCharType="end"/>
      </w:r>
      <w:r>
        <w:t xml:space="preserve"> below. </w:t>
      </w:r>
    </w:p>
    <w:p w14:paraId="313E7632" w14:textId="476F92E9" w:rsidR="00B63F33" w:rsidRDefault="00B63F33" w:rsidP="002B7809">
      <w:pPr>
        <w:pStyle w:val="ArticleL2"/>
      </w:pPr>
      <w:bookmarkStart w:id="212" w:name="_Toc147494860"/>
      <w:bookmarkStart w:id="213" w:name="_Toc433953987"/>
      <w:bookmarkStart w:id="214" w:name="_Toc433954145"/>
      <w:bookmarkStart w:id="215" w:name="_Ref149743236"/>
      <w:bookmarkStart w:id="216" w:name="_Ref149744072"/>
      <w:r w:rsidRPr="00420E14">
        <w:rPr>
          <w:rStyle w:val="ArticleL2UnderlineChar"/>
        </w:rPr>
        <w:t>Excess Energy</w:t>
      </w:r>
      <w:bookmarkEnd w:id="212"/>
      <w:r>
        <w:t>.</w:t>
      </w:r>
      <w:bookmarkEnd w:id="208"/>
      <w:bookmarkEnd w:id="213"/>
      <w:bookmarkEnd w:id="214"/>
      <w:bookmarkEnd w:id="215"/>
      <w:bookmarkEnd w:id="216"/>
      <w:r>
        <w:t xml:space="preserve"> </w:t>
      </w:r>
      <w:r>
        <w:rPr>
          <w:i/>
          <w:color w:val="FF0000"/>
        </w:rPr>
        <w:t xml:space="preserve"> </w:t>
      </w:r>
    </w:p>
    <w:p w14:paraId="44491FF9" w14:textId="75F1EC7C" w:rsidR="00B63F33" w:rsidRDefault="00B63F33" w:rsidP="002B7809">
      <w:pPr>
        <w:pStyle w:val="ArticleL3"/>
      </w:pPr>
      <w:r>
        <w:t xml:space="preserve">Seller shall notify Company promptly upon Seller’s delivery of Renewable Energy that exceeds 110% of the Committed Energy for a Commercial Operation Year.  Within ten (10) Business Days of any such notice, Company shall elect by notice to Seller either to accept or to decline any Excess Energy generated by the Facility through the balance of such Commercial Operation Year.    Failure by Company to deliver such notice shall be deemed an election by Company to decline any Excess Energy for that Commercial Operation Year. </w:t>
      </w:r>
    </w:p>
    <w:p w14:paraId="445C7C0F" w14:textId="77777777" w:rsidR="00B63F33" w:rsidRDefault="00B63F33" w:rsidP="002B7809">
      <w:pPr>
        <w:pStyle w:val="ArticleL3"/>
      </w:pPr>
      <w:r>
        <w:t>If Company elects to accept Excess Energy, Company shall pay Seller the full Renewable Energy Payment Rate for all Excess Energy for the balance of that Commercial Operation Year.</w:t>
      </w:r>
    </w:p>
    <w:p w14:paraId="2B1014CE" w14:textId="017E20A2" w:rsidR="00B63F33" w:rsidRDefault="00B63F33" w:rsidP="00420E14">
      <w:pPr>
        <w:pStyle w:val="ArticleL3"/>
        <w:keepNext w:val="0"/>
      </w:pPr>
      <w:r>
        <w:t xml:space="preserve">If Company declines Excess Energy, Company’s purchases of Renewable Energy with respect to the applicable Commercial Operation Year shall cease when Renewable Energy reaches 115% of the Committed Energy for such Commercial Operation Year.     </w:t>
      </w:r>
    </w:p>
    <w:p w14:paraId="22FAF602" w14:textId="7D597AC9" w:rsidR="00B63F33" w:rsidRDefault="00B63F33" w:rsidP="00420E14">
      <w:pPr>
        <w:pStyle w:val="ArticleL3"/>
        <w:keepNext w:val="0"/>
      </w:pPr>
      <w:bookmarkStart w:id="217" w:name="_Ref149810049"/>
      <w:r>
        <w:t>For purposes hereof, “</w:t>
      </w:r>
      <w:r>
        <w:rPr>
          <w:u w:val="single"/>
        </w:rPr>
        <w:t>Excess Energy</w:t>
      </w:r>
      <w:r>
        <w:t xml:space="preserve">” means all Renewable Energy generated by the Facility in any Commercial Operation Year </w:t>
      </w:r>
      <w:proofErr w:type="gramStart"/>
      <w:r>
        <w:t>in excess of</w:t>
      </w:r>
      <w:proofErr w:type="gramEnd"/>
      <w:r>
        <w:t xml:space="preserve"> 115% of the Committed Energy for such Commercial Operation Year.</w:t>
      </w:r>
      <w:bookmarkEnd w:id="217"/>
      <w:r>
        <w:t xml:space="preserve">  </w:t>
      </w:r>
    </w:p>
    <w:p w14:paraId="10BC7608" w14:textId="3A5AC254" w:rsidR="00B63F33" w:rsidRDefault="00B63F33" w:rsidP="003D756B">
      <w:pPr>
        <w:pStyle w:val="ArticleL2"/>
        <w:keepNext w:val="0"/>
      </w:pPr>
      <w:bookmarkStart w:id="218" w:name="_Toc147494861"/>
      <w:bookmarkStart w:id="219" w:name="_Toc288027264"/>
      <w:bookmarkStart w:id="220" w:name="_Toc433953988"/>
      <w:bookmarkStart w:id="221" w:name="_Toc433954146"/>
      <w:bookmarkStart w:id="222" w:name="_Ref149743280"/>
      <w:r w:rsidRPr="003D756B">
        <w:rPr>
          <w:rStyle w:val="ArticleL2UnderlineChar"/>
        </w:rPr>
        <w:t>Curtailment</w:t>
      </w:r>
      <w:bookmarkEnd w:id="218"/>
      <w:r>
        <w:t>.</w:t>
      </w:r>
      <w:bookmarkEnd w:id="219"/>
      <w:bookmarkEnd w:id="220"/>
      <w:bookmarkEnd w:id="221"/>
      <w:bookmarkEnd w:id="222"/>
      <w:r>
        <w:t xml:space="preserve"> </w:t>
      </w:r>
    </w:p>
    <w:p w14:paraId="2908D970" w14:textId="6D2E0389" w:rsidR="00B63F33" w:rsidRDefault="00B63F33" w:rsidP="003D756B">
      <w:pPr>
        <w:pStyle w:val="ArticleL3"/>
        <w:keepNext w:val="0"/>
      </w:pPr>
      <w:bookmarkStart w:id="223" w:name="_Ref149809795"/>
      <w:r>
        <w:t>For purposes of this PPA, a “</w:t>
      </w:r>
      <w:r>
        <w:rPr>
          <w:u w:val="single"/>
        </w:rPr>
        <w:t>Curtailment</w:t>
      </w:r>
      <w:r>
        <w:t>” shall be defined as a curtailment of the output of the Facility arising out of:</w:t>
      </w:r>
      <w:bookmarkEnd w:id="223"/>
      <w:r>
        <w:t xml:space="preserve"> </w:t>
      </w:r>
    </w:p>
    <w:p w14:paraId="538A70EF" w14:textId="77777777" w:rsidR="00B63F33" w:rsidRDefault="00B63F33" w:rsidP="00192789">
      <w:pPr>
        <w:pStyle w:val="ArticleL4"/>
      </w:pPr>
      <w:r>
        <w:lastRenderedPageBreak/>
        <w:t>The Transmission Authority, or any Governmental Authority directing a curtailment, reduction, or re-dispatch of generation to the extent that such action results in a curtailment of the output of the Facility under Applicable Law, including planned maintenance outages on any part of the transmission system or any testing of the transmission system, any declaration of an “Emergency Condition” or “Force Majeure” (as such terms are defined in the Interconnection Agreement), or any non-dispatch or reduction in dispatch of the Facility as a result of the tags, offers, bids, plans or schedules for the Facility submitted by Company.</w:t>
      </w:r>
    </w:p>
    <w:p w14:paraId="011B531A" w14:textId="7F4217CB" w:rsidR="00B63F33" w:rsidRDefault="00B63F33" w:rsidP="00192789">
      <w:pPr>
        <w:pStyle w:val="ArticleL4"/>
        <w:rPr>
          <w:lang w:val="en-GB"/>
        </w:rPr>
      </w:pPr>
      <w:r>
        <w:t xml:space="preserve">A forced or unscheduled interruption or outage </w:t>
      </w:r>
      <w:r>
        <w:rPr>
          <w:lang w:val="en-GB"/>
        </w:rPr>
        <w:t xml:space="preserve">(including as a result of interruption or curtailment of electric transmission service), but (without limiting the other sub-clauses and clause of this </w:t>
      </w:r>
      <w:r>
        <w:rPr>
          <w:u w:val="single"/>
          <w:lang w:val="en-GB"/>
        </w:rPr>
        <w:t xml:space="preserve">Section </w:t>
      </w:r>
      <w:r w:rsidR="0058598E">
        <w:rPr>
          <w:u w:val="single"/>
          <w:lang w:val="en-GB"/>
        </w:rPr>
        <w:fldChar w:fldCharType="begin"/>
      </w:r>
      <w:r w:rsidR="0058598E">
        <w:rPr>
          <w:u w:val="single"/>
          <w:lang w:val="en-GB"/>
        </w:rPr>
        <w:instrText xml:space="preserve"> REF _Ref149743280 \w \h </w:instrText>
      </w:r>
      <w:r w:rsidR="00192789">
        <w:rPr>
          <w:u w:val="single"/>
          <w:lang w:val="en-GB"/>
        </w:rPr>
        <w:instrText xml:space="preserve"> \* MERGEFORMAT </w:instrText>
      </w:r>
      <w:r w:rsidR="0058598E">
        <w:rPr>
          <w:u w:val="single"/>
          <w:lang w:val="en-GB"/>
        </w:rPr>
      </w:r>
      <w:r w:rsidR="0058598E">
        <w:rPr>
          <w:u w:val="single"/>
          <w:lang w:val="en-GB"/>
        </w:rPr>
        <w:fldChar w:fldCharType="separate"/>
      </w:r>
      <w:r w:rsidR="0058598E">
        <w:rPr>
          <w:u w:val="single"/>
          <w:lang w:val="en-GB"/>
        </w:rPr>
        <w:t>8.3</w:t>
      </w:r>
      <w:r w:rsidR="0058598E">
        <w:rPr>
          <w:u w:val="single"/>
          <w:lang w:val="en-GB"/>
        </w:rPr>
        <w:fldChar w:fldCharType="end"/>
      </w:r>
      <w:r>
        <w:rPr>
          <w:lang w:val="en-GB"/>
        </w:rPr>
        <w:t>) only for so long and only to the extent necessitated by such forced or unscheduled interruption or outage.</w:t>
      </w:r>
    </w:p>
    <w:p w14:paraId="104FAA7F" w14:textId="49621957" w:rsidR="00B63F33" w:rsidRPr="00691098" w:rsidRDefault="00B63F33" w:rsidP="00192789">
      <w:pPr>
        <w:pStyle w:val="ArticleL4"/>
        <w:rPr>
          <w:lang w:val="en-GB"/>
        </w:rPr>
      </w:pPr>
      <w:r>
        <w:rPr>
          <w:lang w:val="en-GB"/>
        </w:rPr>
        <w:t xml:space="preserve">Company, subject to </w:t>
      </w:r>
      <w:r>
        <w:rPr>
          <w:u w:val="single"/>
          <w:lang w:val="en-GB"/>
        </w:rPr>
        <w:t xml:space="preserve">Section </w:t>
      </w:r>
      <w:r w:rsidR="0058598E">
        <w:rPr>
          <w:u w:val="single"/>
          <w:lang w:val="en-GB"/>
        </w:rPr>
        <w:fldChar w:fldCharType="begin"/>
      </w:r>
      <w:r w:rsidR="0058598E">
        <w:rPr>
          <w:u w:val="single"/>
          <w:lang w:val="en-GB"/>
        </w:rPr>
        <w:instrText xml:space="preserve"> REF _Ref149743294 \w \h </w:instrText>
      </w:r>
      <w:r w:rsidR="00192789">
        <w:rPr>
          <w:u w:val="single"/>
          <w:lang w:val="en-GB"/>
        </w:rPr>
        <w:instrText xml:space="preserve"> \* MERGEFORMAT </w:instrText>
      </w:r>
      <w:r w:rsidR="0058598E">
        <w:rPr>
          <w:u w:val="single"/>
          <w:lang w:val="en-GB"/>
        </w:rPr>
      </w:r>
      <w:r w:rsidR="0058598E">
        <w:rPr>
          <w:u w:val="single"/>
          <w:lang w:val="en-GB"/>
        </w:rPr>
        <w:fldChar w:fldCharType="separate"/>
      </w:r>
      <w:r w:rsidR="0058598E">
        <w:rPr>
          <w:u w:val="single"/>
          <w:lang w:val="en-GB"/>
        </w:rPr>
        <w:t>5.1(C)</w:t>
      </w:r>
      <w:r w:rsidR="0058598E">
        <w:rPr>
          <w:u w:val="single"/>
          <w:lang w:val="en-GB"/>
        </w:rPr>
        <w:fldChar w:fldCharType="end"/>
      </w:r>
      <w:r>
        <w:rPr>
          <w:lang w:val="en-GB"/>
        </w:rPr>
        <w:t xml:space="preserve">, and </w:t>
      </w:r>
      <w:r w:rsidRPr="005357FF">
        <w:rPr>
          <w:u w:val="single"/>
          <w:lang w:val="en-GB"/>
        </w:rPr>
        <w:t xml:space="preserve">Section </w:t>
      </w:r>
      <w:r w:rsidR="0058598E">
        <w:rPr>
          <w:u w:val="single"/>
          <w:lang w:val="en-GB"/>
        </w:rPr>
        <w:fldChar w:fldCharType="begin"/>
      </w:r>
      <w:r w:rsidR="0058598E">
        <w:rPr>
          <w:u w:val="single"/>
          <w:lang w:val="en-GB"/>
        </w:rPr>
        <w:instrText xml:space="preserve"> REF _Ref149743304 \w \h </w:instrText>
      </w:r>
      <w:r w:rsidR="00192789">
        <w:rPr>
          <w:u w:val="single"/>
          <w:lang w:val="en-GB"/>
        </w:rPr>
        <w:instrText xml:space="preserve"> \* MERGEFORMAT </w:instrText>
      </w:r>
      <w:r w:rsidR="0058598E">
        <w:rPr>
          <w:u w:val="single"/>
          <w:lang w:val="en-GB"/>
        </w:rPr>
      </w:r>
      <w:r w:rsidR="0058598E">
        <w:rPr>
          <w:u w:val="single"/>
          <w:lang w:val="en-GB"/>
        </w:rPr>
        <w:fldChar w:fldCharType="separate"/>
      </w:r>
      <w:r w:rsidR="0058598E">
        <w:rPr>
          <w:u w:val="single"/>
          <w:lang w:val="en-GB"/>
        </w:rPr>
        <w:t>7.1(A)</w:t>
      </w:r>
      <w:r w:rsidR="0058598E">
        <w:rPr>
          <w:u w:val="single"/>
          <w:lang w:val="en-GB"/>
        </w:rPr>
        <w:fldChar w:fldCharType="end"/>
      </w:r>
      <w:r>
        <w:rPr>
          <w:lang w:val="en-GB"/>
        </w:rPr>
        <w:t xml:space="preserve"> or Transmission Authority requiring Seller, by telephonic communication or through use of the AGC Set Point, to curtail the delivery of Renewable Energy from the Facility. Seller shall promptly comply with each such notification.</w:t>
      </w:r>
    </w:p>
    <w:p w14:paraId="5B4C7765" w14:textId="3D241DD3" w:rsidR="00B63F33" w:rsidRPr="00D15BA9" w:rsidRDefault="00B63F33" w:rsidP="002B7809">
      <w:pPr>
        <w:pStyle w:val="ArticleL4"/>
      </w:pPr>
      <w:r>
        <w:t xml:space="preserve">The lack of available transmission from the Facility to the Point of Delivery.  </w:t>
      </w:r>
    </w:p>
    <w:p w14:paraId="1F8D37F2" w14:textId="5F1DB000" w:rsidR="00B63F33" w:rsidRDefault="00B63F33" w:rsidP="002B7809">
      <w:pPr>
        <w:pStyle w:val="ArticleL3"/>
      </w:pPr>
      <w:r>
        <w:t xml:space="preserve">No payment shall be due to Seller from Company for Renewable Energy curtailed </w:t>
      </w:r>
      <w:proofErr w:type="gramStart"/>
      <w:r>
        <w:t>as a consequence of</w:t>
      </w:r>
      <w:proofErr w:type="gramEnd"/>
      <w:r>
        <w:t xml:space="preserve"> a Curtailment.</w:t>
      </w:r>
    </w:p>
    <w:p w14:paraId="07A7FD68" w14:textId="300F83A6" w:rsidR="00B63F33" w:rsidRDefault="00B63F33" w:rsidP="002B7809">
      <w:pPr>
        <w:pStyle w:val="ArticleL2"/>
      </w:pPr>
      <w:bookmarkStart w:id="224" w:name="_Toc147494862"/>
      <w:bookmarkStart w:id="225" w:name="_Ref149743251"/>
      <w:r w:rsidRPr="003D756B">
        <w:rPr>
          <w:rStyle w:val="ArticleL2UnderlineChar"/>
        </w:rPr>
        <w:t>Energy Payment Reductio</w:t>
      </w:r>
      <w:bookmarkStart w:id="226" w:name="_bookmark36"/>
      <w:bookmarkEnd w:id="226"/>
      <w:r w:rsidRPr="003D756B">
        <w:rPr>
          <w:rStyle w:val="ArticleL2UnderlineChar"/>
        </w:rPr>
        <w:t>n</w:t>
      </w:r>
      <w:bookmarkEnd w:id="224"/>
      <w:r>
        <w:t>.</w:t>
      </w:r>
      <w:bookmarkEnd w:id="225"/>
      <w:r>
        <w:rPr>
          <w:color w:val="000000"/>
          <w:szCs w:val="24"/>
        </w:rPr>
        <w:t xml:space="preserve"> </w:t>
      </w:r>
    </w:p>
    <w:p w14:paraId="52B144FD" w14:textId="1E25B31E" w:rsidR="00B63F33" w:rsidRDefault="00B63F33" w:rsidP="002B7809">
      <w:pPr>
        <w:pStyle w:val="ArticleL3"/>
      </w:pPr>
      <w:bookmarkStart w:id="227" w:name="_Hlk67488316"/>
      <w:r>
        <w:t xml:space="preserve">Beginning at COD should Seller fail to deliver to Company at least ninety percent (90%) of the Committed Energy in either two consecutive Commercial Operation Years, or three </w:t>
      </w:r>
      <w:bookmarkStart w:id="228" w:name="_cp_change_35"/>
      <w:r w:rsidRPr="00A81BBF">
        <w:rPr>
          <w:color w:val="000000" w:themeColor="text1"/>
        </w:rPr>
        <w:t>non-consecutive</w:t>
      </w:r>
      <w:r w:rsidR="00A81BBF">
        <w:rPr>
          <w:color w:val="000000" w:themeColor="text1"/>
        </w:rPr>
        <w:t xml:space="preserve"> </w:t>
      </w:r>
      <w:bookmarkEnd w:id="228"/>
      <w:r>
        <w:t xml:space="preserve">out of six consecutive Commercial Operation Years (as adjusted pursuant to </w:t>
      </w:r>
      <w:r w:rsidR="000E4265" w:rsidRPr="000E4265">
        <w:rPr>
          <w:u w:val="single"/>
        </w:rPr>
        <w:t xml:space="preserve">Exhibit </w:t>
      </w:r>
      <w:r w:rsidR="000E4265">
        <w:rPr>
          <w:u w:val="single"/>
        </w:rPr>
        <w:t>M</w:t>
      </w:r>
      <w:r w:rsidR="000E4265" w:rsidRPr="000E4265">
        <w:rPr>
          <w:u w:val="single"/>
        </w:rPr>
        <w:t xml:space="preserve"> - Methodology </w:t>
      </w:r>
      <w:r w:rsidR="000E4265">
        <w:rPr>
          <w:u w:val="single"/>
        </w:rPr>
        <w:t>f</w:t>
      </w:r>
      <w:r w:rsidR="000E4265" w:rsidRPr="000E4265">
        <w:rPr>
          <w:u w:val="single"/>
        </w:rPr>
        <w:t>or Adjusting Committed Energy</w:t>
      </w:r>
      <w:r>
        <w:t xml:space="preserve">), the Monthly Energy Payment Company makes to Seller during the Commercial Operation Year following such failure shall be reduced by ten percent (10%).  </w:t>
      </w:r>
    </w:p>
    <w:p w14:paraId="75B07F50" w14:textId="3103F635" w:rsidR="00B63F33" w:rsidRDefault="00B63F33" w:rsidP="002B7809">
      <w:pPr>
        <w:pStyle w:val="ArticleL3"/>
      </w:pPr>
      <w:r>
        <w:t>Beginning with the [</w:t>
      </w:r>
      <w:r>
        <w:rPr>
          <w:i/>
          <w:iCs/>
          <w:color w:val="FF0000"/>
          <w:highlight w:val="yellow"/>
        </w:rPr>
        <w:t>Insert Term minus five (5) years</w:t>
      </w:r>
      <w:r>
        <w:t xml:space="preserve">] Commercial Operation Year, should Seller fail to deliver to Company at least ninety percent (90%) of the Committed Energy in either two consecutive Commercial Operation Years, or three </w:t>
      </w:r>
      <w:bookmarkStart w:id="229" w:name="_cp_change_37"/>
      <w:r w:rsidRPr="00A81BBF">
        <w:rPr>
          <w:color w:val="000000" w:themeColor="text1"/>
        </w:rPr>
        <w:t xml:space="preserve">non-consecutive </w:t>
      </w:r>
      <w:bookmarkEnd w:id="229"/>
      <w:r>
        <w:t xml:space="preserve">out of six consecutive Commercial Operation Years (as adjusted pursuant to </w:t>
      </w:r>
      <w:r w:rsidR="000E4265" w:rsidRPr="000E4265">
        <w:rPr>
          <w:u w:val="single"/>
        </w:rPr>
        <w:t xml:space="preserve">Exhibit </w:t>
      </w:r>
      <w:r w:rsidR="000E4265">
        <w:rPr>
          <w:u w:val="single"/>
        </w:rPr>
        <w:t>M</w:t>
      </w:r>
      <w:r w:rsidR="000E4265" w:rsidRPr="000E4265">
        <w:rPr>
          <w:u w:val="single"/>
        </w:rPr>
        <w:t xml:space="preserve"> - Methodology </w:t>
      </w:r>
      <w:r w:rsidR="000E4265">
        <w:rPr>
          <w:u w:val="single"/>
        </w:rPr>
        <w:t>f</w:t>
      </w:r>
      <w:r w:rsidR="000E4265" w:rsidRPr="000E4265">
        <w:rPr>
          <w:u w:val="single"/>
        </w:rPr>
        <w:t>or Adjusting Committed Energy</w:t>
      </w:r>
      <w:r>
        <w:t xml:space="preserve">), the Monthly Energy Payment Company makes to Seller during the Commercial Operation Year following such failure shall be reduced by fifteen percent (15%).  </w:t>
      </w:r>
    </w:p>
    <w:p w14:paraId="0F11255D" w14:textId="2FA87D5E" w:rsidR="00B63F33" w:rsidRDefault="00B63F33" w:rsidP="003D756B">
      <w:pPr>
        <w:pStyle w:val="ArticleL3"/>
        <w:keepNext w:val="0"/>
      </w:pPr>
      <w:r>
        <w:t>Beginning with the thir</w:t>
      </w:r>
      <w:r w:rsidRPr="00A81BBF">
        <w:t xml:space="preserve">d </w:t>
      </w:r>
      <w:bookmarkStart w:id="230" w:name="_cp_change_42"/>
      <w:r w:rsidRPr="00A81BBF">
        <w:t>(3</w:t>
      </w:r>
      <w:r w:rsidRPr="00A81BBF">
        <w:rPr>
          <w:vertAlign w:val="superscript"/>
        </w:rPr>
        <w:t>rd</w:t>
      </w:r>
      <w:r w:rsidRPr="00A81BBF">
        <w:t xml:space="preserve">) </w:t>
      </w:r>
      <w:bookmarkEnd w:id="230"/>
      <w:r w:rsidRPr="00A81BBF">
        <w:t xml:space="preserve">Commercial Operation Year, should Seller fail to deliver to Company at least eighty-five percent (85%) of the Committed Energy in either two consecutive Commercial Operation Years, or three </w:t>
      </w:r>
      <w:bookmarkStart w:id="231" w:name="_cp_change_43"/>
      <w:r w:rsidRPr="00A81BBF">
        <w:t xml:space="preserve">non-consecutive </w:t>
      </w:r>
      <w:bookmarkEnd w:id="231"/>
      <w:r w:rsidRPr="00A81BBF">
        <w:t>out of six consecutive Commercial Operation Years (as adjusted pursu</w:t>
      </w:r>
      <w:r>
        <w:t xml:space="preserve">ant to </w:t>
      </w:r>
      <w:r w:rsidR="000E4265" w:rsidRPr="000E4265">
        <w:rPr>
          <w:u w:val="single"/>
        </w:rPr>
        <w:t xml:space="preserve">Exhibit </w:t>
      </w:r>
      <w:r w:rsidR="000E4265">
        <w:rPr>
          <w:u w:val="single"/>
        </w:rPr>
        <w:t>M</w:t>
      </w:r>
      <w:r w:rsidR="000E4265" w:rsidRPr="000E4265">
        <w:rPr>
          <w:u w:val="single"/>
        </w:rPr>
        <w:t xml:space="preserve"> - Methodology </w:t>
      </w:r>
      <w:r w:rsidR="000E4265">
        <w:rPr>
          <w:u w:val="single"/>
        </w:rPr>
        <w:t>f</w:t>
      </w:r>
      <w:r w:rsidR="000E4265" w:rsidRPr="000E4265">
        <w:rPr>
          <w:u w:val="single"/>
        </w:rPr>
        <w:t>or Adjusting Committed Energy</w:t>
      </w:r>
      <w:r>
        <w:t xml:space="preserve">), the Monthly Energy Payment Company </w:t>
      </w:r>
      <w:r>
        <w:lastRenderedPageBreak/>
        <w:t xml:space="preserve">makes to Seller during the following Commercial Operation Year shall be reduced by fifteen percent (15%).  </w:t>
      </w:r>
    </w:p>
    <w:p w14:paraId="1FD319A8" w14:textId="2FF3A313" w:rsidR="00B63F33" w:rsidRDefault="00B63F33" w:rsidP="003D756B">
      <w:pPr>
        <w:pStyle w:val="ArticleL3"/>
        <w:keepNext w:val="0"/>
      </w:pPr>
      <w:r>
        <w:t>Beginning with the [</w:t>
      </w:r>
      <w:r>
        <w:rPr>
          <w:i/>
          <w:iCs/>
          <w:color w:val="FF0000"/>
          <w:highlight w:val="yellow"/>
        </w:rPr>
        <w:t>Insert Term minus five (5) years</w:t>
      </w:r>
      <w:r>
        <w:t>] Commercial Operation Year, should Seller fail to deliver to Company at least eighty-five percent (85%) of the C</w:t>
      </w:r>
      <w:r w:rsidRPr="00A81BBF">
        <w:rPr>
          <w:color w:val="000000" w:themeColor="text1"/>
        </w:rPr>
        <w:t xml:space="preserve">ommitted Energy in either two consecutive Commercial Operation Years, or three </w:t>
      </w:r>
      <w:bookmarkStart w:id="232" w:name="_cp_change_44"/>
      <w:r w:rsidRPr="00A81BBF">
        <w:rPr>
          <w:color w:val="000000" w:themeColor="text1"/>
        </w:rPr>
        <w:t xml:space="preserve">non-consecutive </w:t>
      </w:r>
      <w:bookmarkEnd w:id="232"/>
      <w:r w:rsidRPr="00A81BBF">
        <w:rPr>
          <w:color w:val="000000" w:themeColor="text1"/>
        </w:rPr>
        <w:t>out</w:t>
      </w:r>
      <w:r>
        <w:t xml:space="preserve"> of six consecutive Commercial Operation Years (as adjusted pursuant to </w:t>
      </w:r>
      <w:r w:rsidR="000E4265" w:rsidRPr="000E4265">
        <w:rPr>
          <w:u w:val="single"/>
        </w:rPr>
        <w:t xml:space="preserve">Exhibit </w:t>
      </w:r>
      <w:r w:rsidR="000E4265">
        <w:rPr>
          <w:u w:val="single"/>
        </w:rPr>
        <w:t>M</w:t>
      </w:r>
      <w:r w:rsidR="000E4265" w:rsidRPr="000E4265">
        <w:rPr>
          <w:u w:val="single"/>
        </w:rPr>
        <w:t xml:space="preserve"> - Methodology </w:t>
      </w:r>
      <w:r w:rsidR="000E4265">
        <w:rPr>
          <w:u w:val="single"/>
        </w:rPr>
        <w:t>f</w:t>
      </w:r>
      <w:r w:rsidR="000E4265" w:rsidRPr="000E4265">
        <w:rPr>
          <w:u w:val="single"/>
        </w:rPr>
        <w:t>or Adjusting Committed Energy</w:t>
      </w:r>
      <w:r>
        <w:t xml:space="preserve">), the Monthly Energy Payment Company makes to Seller during the following Commercial Operation Year shall be reduced by twenty percent (20%).  </w:t>
      </w:r>
    </w:p>
    <w:p w14:paraId="008C16B4" w14:textId="36AD7DA5" w:rsidR="00B63F33" w:rsidRDefault="00B63F33" w:rsidP="002B7809">
      <w:pPr>
        <w:pStyle w:val="ArticleL3"/>
      </w:pPr>
      <w:r>
        <w:t>Beginning with the third (3</w:t>
      </w:r>
      <w:r>
        <w:rPr>
          <w:vertAlign w:val="superscript"/>
        </w:rPr>
        <w:t>rd</w:t>
      </w:r>
      <w:r>
        <w:t>) Comme</w:t>
      </w:r>
      <w:r w:rsidRPr="00A81BBF">
        <w:t xml:space="preserve">rcial Operation Year, should Seller fail to deliver to Company at least eighty percent (80%) of the Committed Energy in either two consecutive Commercial Operation Years, or three </w:t>
      </w:r>
      <w:bookmarkStart w:id="233" w:name="_cp_change_45"/>
      <w:r w:rsidRPr="00A81BBF">
        <w:t xml:space="preserve">non-consecutive </w:t>
      </w:r>
      <w:bookmarkEnd w:id="233"/>
      <w:r w:rsidRPr="00A81BBF">
        <w:t xml:space="preserve">out of six consecutive Commercial Operation Years (as adjusted pursuant to </w:t>
      </w:r>
      <w:r w:rsidR="000E4265" w:rsidRPr="000E4265">
        <w:rPr>
          <w:u w:val="single"/>
        </w:rPr>
        <w:t xml:space="preserve">Exhibit </w:t>
      </w:r>
      <w:r w:rsidR="000E4265">
        <w:rPr>
          <w:u w:val="single"/>
        </w:rPr>
        <w:t>M</w:t>
      </w:r>
      <w:r w:rsidR="000E4265" w:rsidRPr="000E4265">
        <w:rPr>
          <w:u w:val="single"/>
        </w:rPr>
        <w:t xml:space="preserve"> - Methodology </w:t>
      </w:r>
      <w:r w:rsidR="000E4265">
        <w:rPr>
          <w:u w:val="single"/>
        </w:rPr>
        <w:t>f</w:t>
      </w:r>
      <w:r w:rsidR="000E4265" w:rsidRPr="000E4265">
        <w:rPr>
          <w:u w:val="single"/>
        </w:rPr>
        <w:t>or Adjusting Committed Energy</w:t>
      </w:r>
      <w:r w:rsidRPr="00A81BBF">
        <w:t>), the Monthl</w:t>
      </w:r>
      <w:r>
        <w:t xml:space="preserve">y Energy Payment Company makes to Seller during the following Commercial Operation Year shall be reduced by twenty percent (20%).  </w:t>
      </w:r>
    </w:p>
    <w:p w14:paraId="53600A86" w14:textId="25E13E46" w:rsidR="00FA4EC9" w:rsidRDefault="00B63F33" w:rsidP="002B7809">
      <w:pPr>
        <w:pStyle w:val="ArticleL3"/>
      </w:pPr>
      <w:r w:rsidRPr="00A81BBF">
        <w:t>Beginning with the [</w:t>
      </w:r>
      <w:r w:rsidRPr="00EF391D">
        <w:rPr>
          <w:i/>
          <w:iCs/>
          <w:color w:val="FF0000"/>
          <w:highlight w:val="yellow"/>
        </w:rPr>
        <w:t>Insert Term minus five (5) years</w:t>
      </w:r>
      <w:r w:rsidRPr="00A81BBF">
        <w:t xml:space="preserve">] Commercial Operations Years, should Seller fail to deliver to Company at least eighty percent (80%) of the Committed Energy in either two consecutive Commercial Operation Years, or three </w:t>
      </w:r>
      <w:bookmarkStart w:id="234" w:name="_cp_change_46"/>
      <w:r w:rsidRPr="00A81BBF">
        <w:t xml:space="preserve">non-consecutive </w:t>
      </w:r>
      <w:bookmarkEnd w:id="234"/>
      <w:r w:rsidRPr="00A81BBF">
        <w:t>out of six consecutive Commercial Operation Years (as adjusted purs</w:t>
      </w:r>
      <w:r>
        <w:t xml:space="preserve">uant to </w:t>
      </w:r>
      <w:r w:rsidR="000E4265" w:rsidRPr="000E4265">
        <w:rPr>
          <w:u w:val="single"/>
        </w:rPr>
        <w:t xml:space="preserve">Exhibit </w:t>
      </w:r>
      <w:r w:rsidR="000E4265">
        <w:rPr>
          <w:u w:val="single"/>
        </w:rPr>
        <w:t>M</w:t>
      </w:r>
      <w:r w:rsidR="000E4265" w:rsidRPr="000E4265">
        <w:rPr>
          <w:u w:val="single"/>
        </w:rPr>
        <w:t xml:space="preserve"> - Methodology </w:t>
      </w:r>
      <w:r w:rsidR="000E4265">
        <w:rPr>
          <w:u w:val="single"/>
        </w:rPr>
        <w:t>f</w:t>
      </w:r>
      <w:r w:rsidR="000E4265" w:rsidRPr="000E4265">
        <w:rPr>
          <w:u w:val="single"/>
        </w:rPr>
        <w:t>or Adjusting Committed Energy</w:t>
      </w:r>
      <w:r>
        <w:t xml:space="preserve">), the Monthly Energy Payment Company makes to Seller during the following Commercial Operation Year shall be reduced by twenty-five percent (25%).  </w:t>
      </w:r>
    </w:p>
    <w:p w14:paraId="194FB49C" w14:textId="3E0B6387" w:rsidR="00B63F33" w:rsidRDefault="00FA4EC9" w:rsidP="002B7809">
      <w:pPr>
        <w:pStyle w:val="ArticleL3"/>
      </w:pPr>
      <w:r>
        <w:t>For the avoidance of doubt, should more than one Energy Payment Reduction percentage under this Section apply to the same Commercial Operation Year, only the largest payment reduction shall apply to that Commercial Operation Year.</w:t>
      </w:r>
    </w:p>
    <w:p w14:paraId="21D08783" w14:textId="60C85040" w:rsidR="00B63F33" w:rsidRDefault="00B63F33" w:rsidP="002B7809">
      <w:pPr>
        <w:pStyle w:val="ArticleL1"/>
      </w:pPr>
      <w:bookmarkStart w:id="235" w:name="_Toc288027265"/>
      <w:bookmarkStart w:id="236" w:name="_Toc433953989"/>
      <w:bookmarkStart w:id="237" w:name="_Toc433954147"/>
      <w:bookmarkStart w:id="238" w:name="_Toc147494863"/>
      <w:bookmarkStart w:id="239" w:name="_Ref149743123"/>
      <w:bookmarkEnd w:id="227"/>
      <w:r>
        <w:t>Billing and Payment</w:t>
      </w:r>
      <w:bookmarkEnd w:id="235"/>
      <w:bookmarkEnd w:id="236"/>
      <w:bookmarkEnd w:id="237"/>
      <w:bookmarkEnd w:id="238"/>
      <w:bookmarkEnd w:id="239"/>
    </w:p>
    <w:p w14:paraId="57EB6C77" w14:textId="7FBB8A14" w:rsidR="00B63F33" w:rsidRDefault="00B63F33" w:rsidP="002B7809">
      <w:pPr>
        <w:pStyle w:val="ArticleL2"/>
      </w:pPr>
      <w:bookmarkStart w:id="240" w:name="_Toc147494864"/>
      <w:bookmarkStart w:id="241" w:name="_Toc288027266"/>
      <w:bookmarkStart w:id="242" w:name="_Toc433953990"/>
      <w:bookmarkStart w:id="243" w:name="_Toc433954148"/>
      <w:r w:rsidRPr="003D756B">
        <w:rPr>
          <w:rStyle w:val="ArticleL2UnderlineChar"/>
        </w:rPr>
        <w:t>Billing</w:t>
      </w:r>
      <w:bookmarkEnd w:id="240"/>
      <w:r>
        <w:t>.</w:t>
      </w:r>
      <w:bookmarkEnd w:id="241"/>
      <w:bookmarkEnd w:id="242"/>
      <w:bookmarkEnd w:id="243"/>
    </w:p>
    <w:p w14:paraId="7DACF871" w14:textId="77777777" w:rsidR="00B63F33" w:rsidRDefault="00B63F33" w:rsidP="002B7809">
      <w:pPr>
        <w:pStyle w:val="ArticleL3"/>
      </w:pPr>
      <w:r>
        <w:t xml:space="preserve">The billing period under this PPA shall be the calendar month.  </w:t>
      </w:r>
    </w:p>
    <w:p w14:paraId="6FC3FC16" w14:textId="3EA6EC7B" w:rsidR="00B63F33" w:rsidRDefault="00B63F33" w:rsidP="002B7809">
      <w:pPr>
        <w:pStyle w:val="ArticleL3"/>
      </w:pPr>
      <w:r>
        <w:t xml:space="preserve">As soon as practicable and in any event within twenty (20) Days after the end of each month, Company shall provide to Seller a statement containing Company’s calculation of the amount due to Seller for such month, including the applicable billing parameters based upon Company’s reading of the Electric Metering Devices consistent with </w:t>
      </w:r>
      <w:r>
        <w:rPr>
          <w:u w:val="single"/>
        </w:rPr>
        <w:t xml:space="preserve">Section </w:t>
      </w:r>
      <w:r w:rsidR="0058598E">
        <w:rPr>
          <w:u w:val="single"/>
        </w:rPr>
        <w:fldChar w:fldCharType="begin"/>
      </w:r>
      <w:r w:rsidR="0058598E">
        <w:rPr>
          <w:u w:val="single"/>
        </w:rPr>
        <w:instrText xml:space="preserve"> REF _Ref149743324 \w \h </w:instrText>
      </w:r>
      <w:r w:rsidR="0058598E">
        <w:rPr>
          <w:u w:val="single"/>
        </w:rPr>
      </w:r>
      <w:r w:rsidR="0058598E">
        <w:rPr>
          <w:u w:val="single"/>
        </w:rPr>
        <w:fldChar w:fldCharType="separate"/>
      </w:r>
      <w:r w:rsidR="0058598E">
        <w:rPr>
          <w:u w:val="single"/>
        </w:rPr>
        <w:t>5.2</w:t>
      </w:r>
      <w:r w:rsidR="0058598E">
        <w:rPr>
          <w:u w:val="single"/>
        </w:rPr>
        <w:fldChar w:fldCharType="end"/>
      </w:r>
      <w:r>
        <w:t xml:space="preserve">.  </w:t>
      </w:r>
    </w:p>
    <w:p w14:paraId="4CAACDB4" w14:textId="1B0C9D78" w:rsidR="00B63F33" w:rsidRDefault="00B63F33" w:rsidP="002B7809">
      <w:pPr>
        <w:pStyle w:val="ArticleL3"/>
      </w:pPr>
      <w:bookmarkStart w:id="244" w:name="_Hlk48128312"/>
      <w:r>
        <w:t xml:space="preserve">No later than fifteen (15) Business Days following receipt of Company’s billing statement, Seller shall submit an invoice to Company in a form and by a method to be agreed by the Parties, showing the amount due Seller for the relevant month, specifying the products and services provided, billing meter register reads for relevant measurement quantities, total usage in </w:t>
      </w:r>
      <w:bookmarkStart w:id="245" w:name="_cp_change_48"/>
      <w:r w:rsidRPr="00A81BBF">
        <w:rPr>
          <w:color w:val="000000" w:themeColor="text1"/>
        </w:rPr>
        <w:t>kWh</w:t>
      </w:r>
      <w:bookmarkEnd w:id="245"/>
      <w:r w:rsidRPr="00A81BBF">
        <w:rPr>
          <w:color w:val="000000" w:themeColor="text1"/>
        </w:rPr>
        <w:t xml:space="preserve"> </w:t>
      </w:r>
      <w:r>
        <w:t xml:space="preserve">being billed, date and time at which accumulated and billed production was read by the Electric Metering Devices, all billing parameters, rates and factors, and any other data relevant to the calculation of payments </w:t>
      </w:r>
      <w:r>
        <w:lastRenderedPageBreak/>
        <w:t>due to Seller.    Such invoice shall include an explanation of any items in dispute, as well as all supporting documentation upon which Seller relies.</w:t>
      </w:r>
      <w:bookmarkEnd w:id="244"/>
      <w:r>
        <w:t xml:space="preserve">    </w:t>
      </w:r>
    </w:p>
    <w:p w14:paraId="4FA25A04" w14:textId="24CAF5B0" w:rsidR="00B63F33" w:rsidRDefault="00B63F33" w:rsidP="002B7809">
      <w:pPr>
        <w:pStyle w:val="ArticleL2"/>
      </w:pPr>
      <w:bookmarkStart w:id="246" w:name="_Toc147494865"/>
      <w:bookmarkStart w:id="247" w:name="_Toc433953991"/>
      <w:bookmarkStart w:id="248" w:name="_Toc433954149"/>
      <w:bookmarkStart w:id="249" w:name="_Toc288027267"/>
      <w:r w:rsidRPr="003D756B">
        <w:rPr>
          <w:rStyle w:val="ArticleL2UnderlineChar"/>
        </w:rPr>
        <w:t>Payment</w:t>
      </w:r>
      <w:bookmarkEnd w:id="246"/>
      <w:r>
        <w:t>.  All payments shall be remitted via check or electronic funds transfer, as designated by the owed Party, on or before the fifteenth (15</w:t>
      </w:r>
      <w:r>
        <w:rPr>
          <w:vertAlign w:val="superscript"/>
        </w:rPr>
        <w:t>th)</w:t>
      </w:r>
      <w:r>
        <w:t xml:space="preserve"> Business Day following receipt of the invoice </w:t>
      </w:r>
      <w:bookmarkStart w:id="250" w:name="_Hlk46913262"/>
      <w:r>
        <w:t xml:space="preserve">described in </w:t>
      </w:r>
      <w:r w:rsidRPr="005357FF">
        <w:rPr>
          <w:u w:val="single"/>
        </w:rPr>
        <w:t xml:space="preserve">Section </w:t>
      </w:r>
      <w:r w:rsidR="0058598E">
        <w:rPr>
          <w:u w:val="single"/>
        </w:rPr>
        <w:fldChar w:fldCharType="begin"/>
      </w:r>
      <w:r w:rsidR="0058598E">
        <w:rPr>
          <w:u w:val="single"/>
        </w:rPr>
        <w:instrText xml:space="preserve"> REF _Hlk48128312 \w \h </w:instrText>
      </w:r>
      <w:r w:rsidR="0058598E">
        <w:rPr>
          <w:u w:val="single"/>
        </w:rPr>
      </w:r>
      <w:r w:rsidR="0058598E">
        <w:rPr>
          <w:u w:val="single"/>
        </w:rPr>
        <w:fldChar w:fldCharType="separate"/>
      </w:r>
      <w:r w:rsidR="0058598E">
        <w:rPr>
          <w:u w:val="single"/>
        </w:rPr>
        <w:t>9.1(C)</w:t>
      </w:r>
      <w:r w:rsidR="0058598E">
        <w:rPr>
          <w:u w:val="single"/>
        </w:rPr>
        <w:fldChar w:fldCharType="end"/>
      </w:r>
      <w:bookmarkEnd w:id="250"/>
      <w:r>
        <w:t>.  Remittances received by mail will be considered to have been paid when due if the postmark indicates the payment was mailed on or before the fifteenth (15</w:t>
      </w:r>
      <w:r>
        <w:rPr>
          <w:vertAlign w:val="superscript"/>
        </w:rPr>
        <w:t>th</w:t>
      </w:r>
      <w:r>
        <w:t>) Business Day following receipt of the billing invoice.</w:t>
      </w:r>
      <w:bookmarkEnd w:id="247"/>
      <w:bookmarkEnd w:id="248"/>
      <w:r>
        <w:t xml:space="preserve">  </w:t>
      </w:r>
      <w:bookmarkEnd w:id="249"/>
    </w:p>
    <w:p w14:paraId="22642D50" w14:textId="77777777" w:rsidR="00B63F33" w:rsidRDefault="00B63F33" w:rsidP="002B7809">
      <w:pPr>
        <w:pStyle w:val="ArticleL3"/>
      </w:pPr>
      <w:bookmarkStart w:id="251" w:name="_Ref149743352"/>
      <w:r>
        <w:t xml:space="preserve">If a payment is late, a late payment charge shall be applied to the unpaid balance for the number of Days payment was late and shall be added to the next billing statement.  Late payment charges shall include interest calculated using the prime rate of interest as published on the date of the invoice in </w:t>
      </w:r>
      <w:r>
        <w:rPr>
          <w:i/>
        </w:rPr>
        <w:t>The Wall Street Journal</w:t>
      </w:r>
      <w:r>
        <w:t xml:space="preserve"> (or, if unavailable, an equivalent publication on or about that date).</w:t>
      </w:r>
      <w:bookmarkEnd w:id="251"/>
    </w:p>
    <w:p w14:paraId="782B1214" w14:textId="77777777" w:rsidR="00B63F33" w:rsidRDefault="00B63F33" w:rsidP="002B7809">
      <w:pPr>
        <w:pStyle w:val="ArticleL3"/>
      </w:pPr>
      <w:r>
        <w:t xml:space="preserve">Company at any time may offset against amounts owed to Seller, any liquidated amounts, accrued damages and other payments, and undisputed billing errors and adjustments, which are owed by Seller to Company.  </w:t>
      </w:r>
    </w:p>
    <w:p w14:paraId="27617610" w14:textId="77777777" w:rsidR="00B63F33" w:rsidRDefault="00B63F33" w:rsidP="002B7809">
      <w:pPr>
        <w:pStyle w:val="ArticleL3"/>
      </w:pPr>
      <w:r>
        <w:t>Seller and Company may and shall net their obligations to each other under this PPA, and payment of the net amount shall discharge all mutual undisputed obligations between the Parties.</w:t>
      </w:r>
    </w:p>
    <w:p w14:paraId="1B31F26A" w14:textId="5245F0BA" w:rsidR="00B63F33" w:rsidRDefault="00B63F33" w:rsidP="003D756B">
      <w:pPr>
        <w:pStyle w:val="ArticleL2"/>
      </w:pPr>
      <w:bookmarkStart w:id="252" w:name="_Toc147494866"/>
      <w:bookmarkStart w:id="253" w:name="_Toc433953992"/>
      <w:bookmarkStart w:id="254" w:name="_Toc433954150"/>
      <w:bookmarkStart w:id="255" w:name="_Toc288027268"/>
      <w:r w:rsidRPr="003D756B">
        <w:rPr>
          <w:rStyle w:val="ArticleL2UnderlineChar"/>
        </w:rPr>
        <w:t>Billing Disputes</w:t>
      </w:r>
      <w:bookmarkEnd w:id="252"/>
      <w:r>
        <w:t xml:space="preserve">.  Either Party may dispute invoiced amounts pursuant to </w:t>
      </w:r>
      <w:r w:rsidRPr="003D756B">
        <w:rPr>
          <w:u w:val="single"/>
        </w:rPr>
        <w:t xml:space="preserve">Section </w:t>
      </w:r>
      <w:r w:rsidR="0058598E">
        <w:rPr>
          <w:u w:val="single"/>
        </w:rPr>
        <w:fldChar w:fldCharType="begin"/>
      </w:r>
      <w:r w:rsidR="0058598E">
        <w:rPr>
          <w:u w:val="single"/>
        </w:rPr>
        <w:instrText xml:space="preserve"> REF _Ref149743363 \w \h </w:instrText>
      </w:r>
      <w:r w:rsidR="0058598E">
        <w:rPr>
          <w:u w:val="single"/>
        </w:rPr>
      </w:r>
      <w:r w:rsidR="0058598E">
        <w:rPr>
          <w:u w:val="single"/>
        </w:rPr>
        <w:fldChar w:fldCharType="separate"/>
      </w:r>
      <w:r w:rsidR="0058598E">
        <w:rPr>
          <w:u w:val="single"/>
        </w:rPr>
        <w:t>13.1</w:t>
      </w:r>
      <w:r w:rsidR="0058598E">
        <w:rPr>
          <w:u w:val="single"/>
        </w:rPr>
        <w:fldChar w:fldCharType="end"/>
      </w:r>
      <w:r>
        <w:t xml:space="preserve">, shall pay to the other Party at least the portion of invoiced amounts that is not disputed, on or before the invoice due date.  When the billing dispute is resolved, the amount owed shall be netted in the monthly billing period’s invoice following the date of such resolution, with late payment interest charges calculated on the amount owed in accordance with </w:t>
      </w:r>
      <w:r w:rsidRPr="003D756B">
        <w:rPr>
          <w:u w:val="single"/>
        </w:rPr>
        <w:t xml:space="preserve">Section </w:t>
      </w:r>
      <w:r w:rsidR="0058598E">
        <w:rPr>
          <w:u w:val="single"/>
        </w:rPr>
        <w:fldChar w:fldCharType="begin"/>
      </w:r>
      <w:r w:rsidR="0058598E">
        <w:rPr>
          <w:u w:val="single"/>
        </w:rPr>
        <w:instrText xml:space="preserve"> REF _Ref149743352 \w \h </w:instrText>
      </w:r>
      <w:r w:rsidR="0058598E">
        <w:rPr>
          <w:u w:val="single"/>
        </w:rPr>
      </w:r>
      <w:r w:rsidR="0058598E">
        <w:rPr>
          <w:u w:val="single"/>
        </w:rPr>
        <w:fldChar w:fldCharType="separate"/>
      </w:r>
      <w:r w:rsidR="0058598E">
        <w:rPr>
          <w:u w:val="single"/>
        </w:rPr>
        <w:t>9.2(A)</w:t>
      </w:r>
      <w:r w:rsidR="0058598E">
        <w:rPr>
          <w:u w:val="single"/>
        </w:rPr>
        <w:fldChar w:fldCharType="end"/>
      </w:r>
      <w:r>
        <w:t>.</w:t>
      </w:r>
      <w:bookmarkEnd w:id="253"/>
      <w:bookmarkEnd w:id="254"/>
    </w:p>
    <w:p w14:paraId="662D866D" w14:textId="04BADAE0" w:rsidR="00B63F33" w:rsidRDefault="00B63F33" w:rsidP="002B7809">
      <w:pPr>
        <w:pStyle w:val="ArticleL1"/>
      </w:pPr>
      <w:bookmarkStart w:id="256" w:name="_Toc288027270"/>
      <w:bookmarkStart w:id="257" w:name="_Toc433953993"/>
      <w:bookmarkStart w:id="258" w:name="_Toc433954151"/>
      <w:bookmarkStart w:id="259" w:name="_Toc147494867"/>
      <w:bookmarkEnd w:id="255"/>
      <w:r>
        <w:t>Operations and Maintenance</w:t>
      </w:r>
      <w:bookmarkEnd w:id="256"/>
      <w:bookmarkEnd w:id="257"/>
      <w:bookmarkEnd w:id="258"/>
      <w:bookmarkEnd w:id="259"/>
    </w:p>
    <w:p w14:paraId="7B8AED18" w14:textId="0F6B7102" w:rsidR="00B63F33" w:rsidRDefault="00B63F33" w:rsidP="002B7809">
      <w:pPr>
        <w:pStyle w:val="ArticleL2"/>
      </w:pPr>
      <w:bookmarkStart w:id="260" w:name="_Toc147494868"/>
      <w:bookmarkStart w:id="261" w:name="_Toc433953994"/>
      <w:bookmarkStart w:id="262" w:name="_Toc433954152"/>
      <w:bookmarkStart w:id="263" w:name="_Toc288027271"/>
      <w:r w:rsidRPr="003D756B">
        <w:rPr>
          <w:rStyle w:val="ArticleL2UnderlineChar"/>
        </w:rPr>
        <w:t>Operation and Administration</w:t>
      </w:r>
      <w:bookmarkEnd w:id="260"/>
      <w:r>
        <w:t>.</w:t>
      </w:r>
      <w:bookmarkEnd w:id="261"/>
      <w:bookmarkEnd w:id="262"/>
      <w:r>
        <w:t xml:space="preserve">  </w:t>
      </w:r>
      <w:bookmarkEnd w:id="263"/>
    </w:p>
    <w:p w14:paraId="1BB6A855" w14:textId="43464DBA" w:rsidR="00B63F33" w:rsidRDefault="00B63F33" w:rsidP="002B7809">
      <w:pPr>
        <w:pStyle w:val="ArticleL3"/>
      </w:pPr>
      <w:r>
        <w:t xml:space="preserve">Seller shall staff, control, and operate the Facility consistent with Good Utility Practices, </w:t>
      </w:r>
      <w:r w:rsidR="000E4265" w:rsidRPr="009076E2">
        <w:rPr>
          <w:u w:val="single"/>
        </w:rPr>
        <w:t>Exhibit I - A</w:t>
      </w:r>
      <w:r w:rsidR="000E4265">
        <w:rPr>
          <w:u w:val="single"/>
        </w:rPr>
        <w:t>GC</w:t>
      </w:r>
      <w:r w:rsidR="000E4265" w:rsidRPr="009076E2">
        <w:rPr>
          <w:u w:val="single"/>
        </w:rPr>
        <w:t xml:space="preserve"> Protocols; Data Collection; Availability Reporting</w:t>
      </w:r>
      <w:r w:rsidR="000E4265">
        <w:rPr>
          <w:u w:val="single"/>
        </w:rPr>
        <w:t xml:space="preserve"> </w:t>
      </w:r>
      <w:r>
        <w:t xml:space="preserve">and this PPA.  Personnel of Seller shall be available 24x7 via telephone or other electronic means with (i) the capability of remotely starting, operating and stopping the Facility within </w:t>
      </w:r>
      <w:bookmarkStart w:id="264" w:name="_DV_M539"/>
      <w:bookmarkEnd w:id="264"/>
      <w:r>
        <w:t xml:space="preserve">ten (10) minutes, and (ii) the ability to be present at the Site within 30 minutes or sooner, to the extent required in accordance with Good Utility Practices and subject to </w:t>
      </w:r>
      <w:r w:rsidR="000E4265" w:rsidRPr="000E4265">
        <w:rPr>
          <w:u w:val="single"/>
        </w:rPr>
        <w:t xml:space="preserve">Exhibit </w:t>
      </w:r>
      <w:r w:rsidR="000E4265">
        <w:rPr>
          <w:u w:val="single"/>
        </w:rPr>
        <w:t>N</w:t>
      </w:r>
      <w:r w:rsidR="000E4265" w:rsidRPr="000E4265">
        <w:rPr>
          <w:u w:val="single"/>
        </w:rPr>
        <w:t xml:space="preserve"> - Safety Requirements</w:t>
      </w:r>
      <w:r>
        <w:t>.</w:t>
      </w:r>
    </w:p>
    <w:p w14:paraId="49648D09" w14:textId="4D2BC96D" w:rsidR="00B63F33" w:rsidRDefault="00B63F33" w:rsidP="002B7809">
      <w:pPr>
        <w:pStyle w:val="ArticleL3"/>
      </w:pPr>
      <w:r>
        <w:t xml:space="preserve">Seller shall comply with Good Utility Practices, its obligations under this PPA, the Interconnection Agreement, and the requirements of all Governmental Authorities and all reasonable requirements of Company in the operation of the Facility. By way of example only, Seller shall perform all capacity testing of the Facility and related reporting, as and when required by Governmental Authorities. </w:t>
      </w:r>
    </w:p>
    <w:p w14:paraId="3183690A" w14:textId="35B1F65E" w:rsidR="00B63F33" w:rsidRDefault="00B63F33" w:rsidP="002B7809">
      <w:pPr>
        <w:pStyle w:val="ArticleL3"/>
      </w:pPr>
      <w:r>
        <w:t xml:space="preserve">Seller shall provide to Company a two (2) Business Day-ahead availability </w:t>
      </w:r>
      <w:r>
        <w:rPr>
          <w:bCs/>
        </w:rPr>
        <w:t>schedule</w:t>
      </w:r>
      <w:r>
        <w:t xml:space="preserve"> in accordance with</w:t>
      </w:r>
      <w:r>
        <w:rPr>
          <w:u w:val="single"/>
        </w:rPr>
        <w:t xml:space="preserve"> </w:t>
      </w:r>
      <w:r w:rsidR="000E4265" w:rsidRPr="009076E2">
        <w:rPr>
          <w:u w:val="single"/>
        </w:rPr>
        <w:t>Exhibit I - A</w:t>
      </w:r>
      <w:r w:rsidR="000E4265">
        <w:rPr>
          <w:u w:val="single"/>
        </w:rPr>
        <w:t>GC</w:t>
      </w:r>
      <w:r w:rsidR="000E4265" w:rsidRPr="009076E2">
        <w:rPr>
          <w:u w:val="single"/>
        </w:rPr>
        <w:t xml:space="preserve"> Protocols; Data Collection; Availability Reporting</w:t>
      </w:r>
      <w:r w:rsidR="000E4265">
        <w:rPr>
          <w:u w:val="single"/>
        </w:rPr>
        <w:t xml:space="preserve"> </w:t>
      </w:r>
      <w:r>
        <w:t xml:space="preserve">and any other reporting requirements required for compliance with </w:t>
      </w:r>
      <w:r>
        <w:lastRenderedPageBreak/>
        <w:t>NERC reliability standards.  Company shall forward Seller’s forecast to the applicable local reliability coordinator on Seller’s behalf,</w:t>
      </w:r>
      <w:r>
        <w:rPr>
          <w:i/>
        </w:rPr>
        <w:t xml:space="preserve"> provided, however, </w:t>
      </w:r>
      <w:r>
        <w:t>that Seller shall remain responsible to ensure the timeliness and accuracy of forecasts and any changes to the real-time or forecast availability of the Facility.  If and to the extent that the ERO modifies the forecasting or other reporting requirements imposed on Company or the Facility, Seller shall timely provide required data to Company or the ERO, as applicable.</w:t>
      </w:r>
    </w:p>
    <w:p w14:paraId="69E30F2A" w14:textId="0C7A70E2" w:rsidR="0046181D" w:rsidRPr="001B73FA" w:rsidRDefault="0046181D" w:rsidP="002B7809">
      <w:pPr>
        <w:pStyle w:val="ArticleL3"/>
      </w:pPr>
      <w:r>
        <w:t xml:space="preserve">Seller shall, and shall cause its Affiliates and contractors to operate, and maintain the Facility and conduct all work or cause all work in connection therewith to be conducted in accordance with </w:t>
      </w:r>
      <w:r w:rsidR="000E4265" w:rsidRPr="000E4265">
        <w:rPr>
          <w:u w:val="single"/>
        </w:rPr>
        <w:t xml:space="preserve">Exhibit </w:t>
      </w:r>
      <w:r w:rsidR="000E4265">
        <w:rPr>
          <w:u w:val="single"/>
        </w:rPr>
        <w:t>N</w:t>
      </w:r>
      <w:r w:rsidR="000E4265" w:rsidRPr="000E4265">
        <w:rPr>
          <w:u w:val="single"/>
        </w:rPr>
        <w:t xml:space="preserve"> - Safety Requirements</w:t>
      </w:r>
      <w:r>
        <w:t xml:space="preserve">. Seller </w:t>
      </w:r>
      <w:r w:rsidR="00652737">
        <w:t>shall and</w:t>
      </w:r>
      <w:r>
        <w:t xml:space="preserve"> shall cause its Affiliates and contractors to take all actions to comply with </w:t>
      </w:r>
      <w:r w:rsidR="000E4265" w:rsidRPr="000E4265">
        <w:rPr>
          <w:u w:val="single"/>
        </w:rPr>
        <w:t xml:space="preserve">Exhibit </w:t>
      </w:r>
      <w:r w:rsidR="000E4265">
        <w:rPr>
          <w:u w:val="single"/>
        </w:rPr>
        <w:t>N</w:t>
      </w:r>
      <w:r w:rsidR="000E4265" w:rsidRPr="000E4265">
        <w:rPr>
          <w:u w:val="single"/>
        </w:rPr>
        <w:t xml:space="preserve"> - Safety Requirements</w:t>
      </w:r>
      <w:r>
        <w:t>.</w:t>
      </w:r>
    </w:p>
    <w:p w14:paraId="19616526" w14:textId="15C5F668" w:rsidR="00B63F33" w:rsidRDefault="00B63F33" w:rsidP="002B7809">
      <w:pPr>
        <w:pStyle w:val="ArticleL2"/>
      </w:pPr>
      <w:bookmarkStart w:id="265" w:name="_Toc147494869"/>
      <w:bookmarkStart w:id="266" w:name="_Toc433953995"/>
      <w:bookmarkStart w:id="267" w:name="_Toc433954153"/>
      <w:bookmarkStart w:id="268" w:name="_Toc288027272"/>
      <w:r w:rsidRPr="003D756B">
        <w:rPr>
          <w:rStyle w:val="ArticleL2UnderlineChar"/>
        </w:rPr>
        <w:t>Facility Maintenance</w:t>
      </w:r>
      <w:bookmarkEnd w:id="265"/>
      <w:r>
        <w:t>.</w:t>
      </w:r>
      <w:bookmarkEnd w:id="266"/>
      <w:bookmarkEnd w:id="267"/>
      <w:r>
        <w:t xml:space="preserve">  </w:t>
      </w:r>
      <w:bookmarkEnd w:id="268"/>
    </w:p>
    <w:p w14:paraId="48722557" w14:textId="7AF76C7C" w:rsidR="00B63F33" w:rsidRDefault="00B63F33" w:rsidP="002B7809">
      <w:pPr>
        <w:pStyle w:val="ArticleL3"/>
      </w:pPr>
      <w:bookmarkStart w:id="269" w:name="_Ref149810747"/>
      <w:r>
        <w:t>Seller shall maintain the Facility in accordance with Good Utility Practices.  Seller shall coordinate its regular maintenance requirements for the Facility with Company (“</w:t>
      </w:r>
      <w:r>
        <w:rPr>
          <w:u w:val="single"/>
        </w:rPr>
        <w:t>Maintenance Schedules</w:t>
      </w:r>
      <w:r>
        <w:t>”).  Seller shall provide Maintenance Schedules, including planned outages, to Company in writing and sufficiently in advance for Company’s Commercially Reasonable review, and shall be subject to Company’s Commercially Reasonable approval.  Seller shall coordinate with Company and the Transmission Authority on the timing and duration of planned outages.  Company has the right to not permit a planned outage if it conflicts with the requirements of the ERO or if the ERO rejects the planned outage request.</w:t>
      </w:r>
      <w:bookmarkEnd w:id="269"/>
    </w:p>
    <w:p w14:paraId="5E0F5FD5" w14:textId="77777777" w:rsidR="00B63F33" w:rsidRDefault="00B63F33" w:rsidP="002B7809">
      <w:pPr>
        <w:pStyle w:val="ArticleL3"/>
      </w:pPr>
      <w:r>
        <w:t xml:space="preserve">Seller shall minimize the amount of scheduled maintenance during </w:t>
      </w:r>
      <w:proofErr w:type="gramStart"/>
      <w:r>
        <w:t>the months of January</w:t>
      </w:r>
      <w:proofErr w:type="gramEnd"/>
      <w:r>
        <w:t xml:space="preserve">, February, June, July, August, September and December to the maximum extent consistent with Good Utility Practices.  Seller shall coordinate with Company and the Transmission Authority on the timing and duration of planned outages.  </w:t>
      </w:r>
    </w:p>
    <w:p w14:paraId="0EDC576F" w14:textId="77777777" w:rsidR="00B63F33" w:rsidRDefault="00B63F33" w:rsidP="002B7809">
      <w:pPr>
        <w:pStyle w:val="ArticleL3"/>
      </w:pPr>
      <w:r>
        <w:t>When Forced Outages occur, Seller shall notify Company’s EMCC of the existence, nature, start time, and expected duration of the Forced Outage as soon as practical, but in no event later than one hour after the Forced Outage occurs.  Seller shall immediately inform Company’s EMCC of changes in the expected duration of the Forced Outage except to the extent relieved of this obligation by Company’s EMCC with respect thereto.</w:t>
      </w:r>
    </w:p>
    <w:p w14:paraId="3612E3C3" w14:textId="0109C364" w:rsidR="00B63F33" w:rsidRDefault="00B63F33" w:rsidP="002B7809">
      <w:pPr>
        <w:pStyle w:val="ArticleL3"/>
      </w:pPr>
      <w:r>
        <w:t>Seller shall develop and provide Company with a copy of its Facility cold weather policy.  In the event of a Facility Forced Outage or derate, Company may request that Seller shall conduct a root cause analysis, take corrective action(s) as are reasonable under the circumstances to prevent reoccurrences and provide a copy of such analyses and corrective action(s) to Company.</w:t>
      </w:r>
    </w:p>
    <w:p w14:paraId="0DB890A7" w14:textId="1A89CE81" w:rsidR="00B63F33" w:rsidRDefault="00B63F33" w:rsidP="002B7809">
      <w:pPr>
        <w:pStyle w:val="ArticleL2"/>
      </w:pPr>
      <w:bookmarkStart w:id="270" w:name="_Toc147494870"/>
      <w:bookmarkStart w:id="271" w:name="_Toc288027273"/>
      <w:bookmarkStart w:id="272" w:name="_Toc433953996"/>
      <w:bookmarkStart w:id="273" w:name="_Toc433954154"/>
      <w:bookmarkStart w:id="274" w:name="_Ref149743717"/>
      <w:r w:rsidRPr="003D756B">
        <w:rPr>
          <w:rStyle w:val="ArticleL2UnderlineChar"/>
        </w:rPr>
        <w:t>Books and Records</w:t>
      </w:r>
      <w:bookmarkEnd w:id="270"/>
      <w:r>
        <w:t>.</w:t>
      </w:r>
      <w:bookmarkEnd w:id="271"/>
      <w:bookmarkEnd w:id="272"/>
      <w:bookmarkEnd w:id="273"/>
      <w:bookmarkEnd w:id="274"/>
    </w:p>
    <w:p w14:paraId="7C91FDDA" w14:textId="77777777" w:rsidR="00B63F33" w:rsidRDefault="00B63F33" w:rsidP="002B7809">
      <w:pPr>
        <w:pStyle w:val="ArticleL3"/>
      </w:pPr>
      <w:r>
        <w:t xml:space="preserve">Seller shall maintain an accurate and up-to-date operating log at the Facility, in electronic format, with records of production for each clock hour; changes in operating status; Forced Outages; information required by Governmental Authorities in </w:t>
      </w:r>
      <w:r>
        <w:lastRenderedPageBreak/>
        <w:t>the prescribed format; and other information reasonably requested by Company.  Seller shall deliver the operating log to Company electronically when reasonably requested.</w:t>
      </w:r>
    </w:p>
    <w:p w14:paraId="07C49454" w14:textId="6E998DFF" w:rsidR="00B63F33" w:rsidRDefault="00B63F33" w:rsidP="002B7809">
      <w:pPr>
        <w:pStyle w:val="ArticleL3"/>
      </w:pPr>
      <w:r>
        <w:t>Seller and Company shall each keep complete and accurate records and all other data required by each of them for the purposes of proper administration of this PPA, including metering, billing and payment records, and such records as may be required by Governmental Authorities.  Originals or copies of all Operating Records shall be maintained at the Site or such other [</w:t>
      </w:r>
      <w:r>
        <w:rPr>
          <w:i/>
          <w:color w:val="FF0000"/>
          <w:highlight w:val="yellow"/>
        </w:rPr>
        <w:t>insert OpCo home state</w:t>
      </w:r>
      <w:r>
        <w:t xml:space="preserve"> location as may be specified by Seller from time to time.  Company may examine and make copies of such Operating Records from time to time upon request, during normal business hours. </w:t>
      </w:r>
    </w:p>
    <w:p w14:paraId="5895B4CF" w14:textId="2C5BC311" w:rsidR="00B63F33" w:rsidRDefault="00B63F33" w:rsidP="00E41417">
      <w:pPr>
        <w:pStyle w:val="ArticleL2"/>
      </w:pPr>
      <w:bookmarkStart w:id="275" w:name="_Toc147494871"/>
      <w:bookmarkStart w:id="276" w:name="_Toc288027275"/>
      <w:bookmarkStart w:id="277" w:name="_Toc433953997"/>
      <w:bookmarkStart w:id="278" w:name="_Toc433954155"/>
      <w:bookmarkStart w:id="279" w:name="_Toc288027274"/>
      <w:r w:rsidRPr="003D756B">
        <w:rPr>
          <w:rStyle w:val="ArticleL2UnderlineChar"/>
        </w:rPr>
        <w:t>Access to Facility</w:t>
      </w:r>
      <w:bookmarkEnd w:id="275"/>
      <w:r>
        <w:t>.  Representatives of Company shall have access to the Facility from time to time, on Commercially Reasonable prior notice, to read meters, perform inspections and take such other actions as may be appropriate to facilitate Company’s performance of this PPA.  While at the Facility, such representatives shall observe Seller’s standard safety precautions and shall conduct themselves in a manner that will not interfere with operation of the Facility.</w:t>
      </w:r>
      <w:bookmarkEnd w:id="276"/>
      <w:bookmarkEnd w:id="277"/>
      <w:bookmarkEnd w:id="278"/>
    </w:p>
    <w:p w14:paraId="0246552D" w14:textId="697F19A2" w:rsidR="00B63F33" w:rsidRDefault="00B63F33" w:rsidP="002B7809">
      <w:pPr>
        <w:pStyle w:val="ArticleL2"/>
      </w:pPr>
      <w:bookmarkStart w:id="280" w:name="_Toc147494872"/>
      <w:bookmarkStart w:id="281" w:name="_Toc288027277"/>
      <w:bookmarkStart w:id="282" w:name="_Toc433953998"/>
      <w:bookmarkStart w:id="283" w:name="_Toc433954156"/>
      <w:bookmarkStart w:id="284" w:name="_Ref149743031"/>
      <w:r w:rsidRPr="003D756B">
        <w:rPr>
          <w:rStyle w:val="ArticleL2UnderlineChar"/>
        </w:rPr>
        <w:t>Real Time Data</w:t>
      </w:r>
      <w:bookmarkEnd w:id="280"/>
      <w:r>
        <w:t>.</w:t>
      </w:r>
      <w:bookmarkEnd w:id="281"/>
      <w:bookmarkEnd w:id="282"/>
      <w:bookmarkEnd w:id="283"/>
      <w:bookmarkEnd w:id="284"/>
    </w:p>
    <w:p w14:paraId="5F3E4902" w14:textId="623D241D" w:rsidR="00B63F33" w:rsidRDefault="00B63F33" w:rsidP="002B7809">
      <w:pPr>
        <w:pStyle w:val="ArticleL3"/>
      </w:pPr>
      <w:r>
        <w:t xml:space="preserve">Seller shall communicate all data necessary for Company to integrate the Facility into Company’s EMCC in real time through the Facility’s SCADA System in accordance with </w:t>
      </w:r>
      <w:r w:rsidR="000E4265" w:rsidRPr="009076E2">
        <w:rPr>
          <w:u w:val="single"/>
        </w:rPr>
        <w:t>Exhibit I - A</w:t>
      </w:r>
      <w:r w:rsidR="000E4265">
        <w:rPr>
          <w:u w:val="single"/>
        </w:rPr>
        <w:t>GC</w:t>
      </w:r>
      <w:r w:rsidR="000E4265" w:rsidRPr="009076E2">
        <w:rPr>
          <w:u w:val="single"/>
        </w:rPr>
        <w:t xml:space="preserve"> Protocols; Data Collection; Availability Reporting</w:t>
      </w:r>
      <w:r>
        <w:t xml:space="preserve">.  Seller shall maintain the Facility’s SCADA System and communications systems so that they are capable of interfacing with and reacting to Company’s AGC Set-Point and responding to signals from the Company’s EMCC in accordance with the AGC Protocols.  </w:t>
      </w:r>
    </w:p>
    <w:p w14:paraId="7383AB44" w14:textId="77777777" w:rsidR="00B63F33" w:rsidRDefault="00B63F33" w:rsidP="002B7809">
      <w:pPr>
        <w:pStyle w:val="ArticleL3"/>
      </w:pPr>
      <w:r>
        <w:t xml:space="preserve">Seller shall use Commercially Reasonable Efforts to maintain and, when necessary, adjust the real time Park Potential of the Facility when Company communicates to Seller a measured difference of plus or minus two percent between the metered Renewable Energy and Park Potential, during periods when generation is not curtailed.  </w:t>
      </w:r>
    </w:p>
    <w:p w14:paraId="1D4E42DF" w14:textId="69987B26" w:rsidR="00B63F33" w:rsidRDefault="00B63F33" w:rsidP="003D756B">
      <w:pPr>
        <w:pStyle w:val="ArticleL3"/>
        <w:keepNext w:val="0"/>
      </w:pPr>
      <w:r>
        <w:t>From and after the Commercial Operation Date, Seller shall provide Company, at Seller’s expense, real time performance and meteorological data for all [</w:t>
      </w:r>
      <w:r>
        <w:rPr>
          <w:highlight w:val="yellow"/>
        </w:rPr>
        <w:t>Wind Turbines</w:t>
      </w:r>
      <w:r>
        <w:t>] [</w:t>
      </w:r>
      <w:r>
        <w:rPr>
          <w:highlight w:val="yellow"/>
        </w:rPr>
        <w:t>Solar Units</w:t>
      </w:r>
      <w:r>
        <w:t xml:space="preserve">] and meteorological stations at the Facility in accordance with </w:t>
      </w:r>
      <w:r w:rsidR="000E4265" w:rsidRPr="009076E2">
        <w:rPr>
          <w:u w:val="single"/>
        </w:rPr>
        <w:t>Exhibit I - A</w:t>
      </w:r>
      <w:r w:rsidR="000E4265">
        <w:rPr>
          <w:u w:val="single"/>
        </w:rPr>
        <w:t>GC</w:t>
      </w:r>
      <w:r w:rsidR="000E4265" w:rsidRPr="009076E2">
        <w:rPr>
          <w:u w:val="single"/>
        </w:rPr>
        <w:t xml:space="preserve"> Protocols; Data Collection; Availability Reporting</w:t>
      </w:r>
      <w:r w:rsidR="000E4265">
        <w:rPr>
          <w:u w:val="single"/>
        </w:rPr>
        <w:t xml:space="preserve"> </w:t>
      </w:r>
      <w:r>
        <w:t xml:space="preserve">for the Term.  Seller shall maintain Seller-owned data collection systems that are compatible with Company’s PI System.  Seller shall ensure that real time communications capabilities are available and maintained for transmission to Company’s PI System. Seller shall ensure that all meteorological equipment at a minimum meets the specifications set forth in </w:t>
      </w:r>
      <w:r w:rsidR="000E4265" w:rsidRPr="009076E2">
        <w:rPr>
          <w:u w:val="single"/>
        </w:rPr>
        <w:t>Exhibit I - A</w:t>
      </w:r>
      <w:r w:rsidR="000E4265">
        <w:rPr>
          <w:u w:val="single"/>
        </w:rPr>
        <w:t>GC</w:t>
      </w:r>
      <w:r w:rsidR="000E4265" w:rsidRPr="009076E2">
        <w:rPr>
          <w:u w:val="single"/>
        </w:rPr>
        <w:t xml:space="preserve"> Protocols; Data Collection; Availability Reporting</w:t>
      </w:r>
      <w:r>
        <w:t xml:space="preserve">.  Company shall have the right to disclose data gathered through the Company’s PI System publicly; </w:t>
      </w:r>
      <w:r>
        <w:rPr>
          <w:i/>
        </w:rPr>
        <w:t xml:space="preserve">provided, however, </w:t>
      </w:r>
      <w:r>
        <w:t>that such data is (i) masked to obscure the origin of the data and (ii) aggregated so that the data cannot be correlated and used by competitors of Seller and/or the supplier of the [</w:t>
      </w:r>
      <w:r>
        <w:rPr>
          <w:highlight w:val="yellow"/>
        </w:rPr>
        <w:t>Wind Turbines</w:t>
      </w:r>
      <w:r>
        <w:t>] [</w:t>
      </w:r>
      <w:r>
        <w:rPr>
          <w:highlight w:val="yellow"/>
        </w:rPr>
        <w:t>Solar Units</w:t>
      </w:r>
      <w:r>
        <w:t xml:space="preserve">], except as otherwise provided in </w:t>
      </w:r>
      <w:r>
        <w:rPr>
          <w:u w:val="single"/>
        </w:rPr>
        <w:t xml:space="preserve">Section </w:t>
      </w:r>
      <w:r w:rsidR="0058598E">
        <w:rPr>
          <w:u w:val="single"/>
        </w:rPr>
        <w:fldChar w:fldCharType="begin"/>
      </w:r>
      <w:r w:rsidR="0058598E">
        <w:rPr>
          <w:u w:val="single"/>
        </w:rPr>
        <w:instrText xml:space="preserve"> REF _Ref149743392 \w \h </w:instrText>
      </w:r>
      <w:r w:rsidR="0058598E">
        <w:rPr>
          <w:u w:val="single"/>
        </w:rPr>
      </w:r>
      <w:r w:rsidR="0058598E">
        <w:rPr>
          <w:u w:val="single"/>
        </w:rPr>
        <w:fldChar w:fldCharType="separate"/>
      </w:r>
      <w:r w:rsidR="0058598E">
        <w:rPr>
          <w:u w:val="single"/>
        </w:rPr>
        <w:t>20.18</w:t>
      </w:r>
      <w:r w:rsidR="0058598E">
        <w:rPr>
          <w:u w:val="single"/>
        </w:rPr>
        <w:fldChar w:fldCharType="end"/>
      </w:r>
      <w:r>
        <w:t xml:space="preserve">.  </w:t>
      </w:r>
    </w:p>
    <w:p w14:paraId="5B8E78ED" w14:textId="29521BE5" w:rsidR="00B63F33" w:rsidRDefault="00B63F33" w:rsidP="003D756B">
      <w:pPr>
        <w:pStyle w:val="ArticleL2"/>
        <w:keepNext w:val="0"/>
      </w:pPr>
      <w:bookmarkStart w:id="285" w:name="_Toc147494873"/>
      <w:bookmarkStart w:id="286" w:name="_Toc433953999"/>
      <w:bookmarkStart w:id="287" w:name="_Toc433954157"/>
      <w:r w:rsidRPr="003D756B">
        <w:rPr>
          <w:rStyle w:val="ArticleL2UnderlineChar"/>
        </w:rPr>
        <w:lastRenderedPageBreak/>
        <w:t>Accreditation</w:t>
      </w:r>
      <w:bookmarkEnd w:id="285"/>
      <w:r>
        <w:t>. Seller shall perform from time to time, at its expense, any reporting and testing (including capacity testing) of the Facility required by Governmental Authorities.</w:t>
      </w:r>
    </w:p>
    <w:p w14:paraId="03C1F1BF" w14:textId="32775918" w:rsidR="00B63F33" w:rsidRDefault="00B63F33" w:rsidP="002B7809">
      <w:pPr>
        <w:pStyle w:val="ArticleL2"/>
      </w:pPr>
      <w:bookmarkStart w:id="288" w:name="_Toc147494874"/>
      <w:bookmarkStart w:id="289" w:name="_Ref149809201"/>
      <w:r w:rsidRPr="003D756B">
        <w:rPr>
          <w:rStyle w:val="ArticleL2UnderlineChar"/>
        </w:rPr>
        <w:t>Operating Committee and Operating Procedures</w:t>
      </w:r>
      <w:bookmarkEnd w:id="288"/>
      <w:r>
        <w:t>.</w:t>
      </w:r>
      <w:bookmarkEnd w:id="279"/>
      <w:bookmarkEnd w:id="286"/>
      <w:bookmarkEnd w:id="287"/>
      <w:bookmarkEnd w:id="289"/>
    </w:p>
    <w:p w14:paraId="4263D11A" w14:textId="5811302A" w:rsidR="00B63F33" w:rsidRDefault="00B63F33" w:rsidP="002B7809">
      <w:pPr>
        <w:pStyle w:val="ArticleL3"/>
      </w:pPr>
      <w:r>
        <w:t>Company and Seller shall each appoint one representative and one alternate representative to act as the Operating Committee in matters relating to the Parties’ performance obligations under this PPA and to develop operating arrangements for the generation, delivery and receipt of the Renewable Energy</w:t>
      </w:r>
      <w:proofErr w:type="gramStart"/>
      <w:r>
        <w:t xml:space="preserve">.  </w:t>
      </w:r>
      <w:proofErr w:type="gramEnd"/>
      <w:r>
        <w:t xml:space="preserve">The Parties’ initial representatives on the Operating Committee are set forth in </w:t>
      </w:r>
      <w:r w:rsidR="009076E2" w:rsidRPr="009076E2">
        <w:rPr>
          <w:u w:val="single"/>
        </w:rPr>
        <w:t xml:space="preserve">Exhibit D - Notices </w:t>
      </w:r>
      <w:r w:rsidR="009076E2">
        <w:rPr>
          <w:u w:val="single"/>
        </w:rPr>
        <w:t>a</w:t>
      </w:r>
      <w:r w:rsidR="009076E2" w:rsidRPr="009076E2">
        <w:rPr>
          <w:u w:val="single"/>
        </w:rPr>
        <w:t>nd Contact Information</w:t>
      </w:r>
      <w:r>
        <w:t xml:space="preserve">.  </w:t>
      </w:r>
    </w:p>
    <w:p w14:paraId="0A59AC70" w14:textId="77777777" w:rsidR="00B63F33" w:rsidRDefault="00B63F33" w:rsidP="002B7809">
      <w:pPr>
        <w:pStyle w:val="ArticleL3"/>
      </w:pPr>
      <w:r>
        <w:t>The Operating Committee may develop mutually agreeable written Operating Procedures consistent with the requirements of this PPA, to address matters such as day</w:t>
      </w:r>
      <w:r>
        <w:noBreakHyphen/>
        <w:t>to</w:t>
      </w:r>
      <w:r>
        <w:noBreakHyphen/>
        <w:t xml:space="preserve">day communications; key personnel; operations-center interface; metering, telemetering, telecommunications, and data acquisition procedures; operations and maintenance scheduling and reporting; reports; operations log; testing procedures; and such other matters as may be mutually agreed upon by the Operating Committee.  </w:t>
      </w:r>
    </w:p>
    <w:p w14:paraId="2D38FDEF" w14:textId="6A5173D7" w:rsidR="00B63F33" w:rsidRDefault="00B63F33" w:rsidP="002B7809">
      <w:pPr>
        <w:pStyle w:val="ArticleL3"/>
      </w:pPr>
      <w:r>
        <w:t xml:space="preserve">The Operating Committee shall review the requirements for AGC and data collection from time to time after the Effective Date and may agree on modifications thereto to the extent necessary or convenient for operation of the Facility in accordance with this PPA.  </w:t>
      </w:r>
    </w:p>
    <w:p w14:paraId="7E728AF8" w14:textId="77777777" w:rsidR="00B63F33" w:rsidRDefault="00B63F33" w:rsidP="002B7809">
      <w:pPr>
        <w:pStyle w:val="ArticleL3"/>
      </w:pPr>
      <w:r>
        <w:t xml:space="preserve">The Operating Committee shall have authority to act in all technical and day-to-day operational matters relating to performance of this PPA and to attempt to resolve potential disputes, </w:t>
      </w:r>
      <w:r>
        <w:rPr>
          <w:i/>
        </w:rPr>
        <w:t xml:space="preserve">provided, however, </w:t>
      </w:r>
      <w:r>
        <w:t>that except as explicitly provided herein, the Operating Committee shall have no authority to amend or waive any provision of this PPA.</w:t>
      </w:r>
    </w:p>
    <w:p w14:paraId="0B4A416F" w14:textId="4EBDA749" w:rsidR="00B63F33" w:rsidRDefault="00B63F33" w:rsidP="002B7809">
      <w:pPr>
        <w:pStyle w:val="ArticleL1"/>
      </w:pPr>
      <w:bookmarkStart w:id="290" w:name="_Toc288027278"/>
      <w:r>
        <w:t xml:space="preserve"> </w:t>
      </w:r>
      <w:bookmarkStart w:id="291" w:name="_Toc433954000"/>
      <w:bookmarkStart w:id="292" w:name="_Toc433954158"/>
      <w:bookmarkStart w:id="293" w:name="_Toc147494875"/>
      <w:bookmarkStart w:id="294" w:name="_Ref149743410"/>
      <w:bookmarkStart w:id="295" w:name="_Ref149743422"/>
      <w:bookmarkStart w:id="296" w:name="_Ref149743509"/>
      <w:bookmarkStart w:id="297" w:name="_Ref149743519"/>
      <w:bookmarkStart w:id="298" w:name="_Ref149743528"/>
      <w:bookmarkStart w:id="299" w:name="_Ref149743551"/>
      <w:bookmarkStart w:id="300" w:name="_Ref149743597"/>
      <w:bookmarkStart w:id="301" w:name="_Ref149808532"/>
      <w:r>
        <w:t>Security for Performance</w:t>
      </w:r>
      <w:bookmarkEnd w:id="290"/>
      <w:bookmarkEnd w:id="291"/>
      <w:bookmarkEnd w:id="292"/>
      <w:bookmarkEnd w:id="293"/>
      <w:bookmarkEnd w:id="294"/>
      <w:bookmarkEnd w:id="295"/>
      <w:bookmarkEnd w:id="296"/>
      <w:bookmarkEnd w:id="297"/>
      <w:bookmarkEnd w:id="298"/>
      <w:bookmarkEnd w:id="299"/>
      <w:bookmarkEnd w:id="300"/>
      <w:bookmarkEnd w:id="301"/>
    </w:p>
    <w:p w14:paraId="3ABD042F" w14:textId="5CC789BD" w:rsidR="00B63F33" w:rsidRDefault="00B63F33" w:rsidP="002B7809">
      <w:pPr>
        <w:pStyle w:val="ArticleL2"/>
      </w:pPr>
      <w:bookmarkStart w:id="302" w:name="_Toc147494876"/>
      <w:bookmarkStart w:id="303" w:name="_Toc288027279"/>
      <w:bookmarkStart w:id="304" w:name="_Toc433954001"/>
      <w:bookmarkStart w:id="305" w:name="_Toc433954159"/>
      <w:r w:rsidRPr="003D756B">
        <w:rPr>
          <w:rStyle w:val="ArticleL2UnderlineChar"/>
        </w:rPr>
        <w:t>Security Fund</w:t>
      </w:r>
      <w:bookmarkEnd w:id="302"/>
      <w:r>
        <w:t>.</w:t>
      </w:r>
      <w:bookmarkEnd w:id="303"/>
      <w:bookmarkEnd w:id="304"/>
      <w:bookmarkEnd w:id="305"/>
    </w:p>
    <w:p w14:paraId="00565625" w14:textId="0E064833" w:rsidR="00B63F33" w:rsidRDefault="00B63F33" w:rsidP="002B7809">
      <w:pPr>
        <w:pStyle w:val="ArticleL3"/>
      </w:pPr>
      <w:bookmarkStart w:id="306" w:name="_Ref149811713"/>
      <w:r>
        <w:t>During the Term of this PPA, Seller shall fund and maintain security in favor of Company, at Seller’s expense, to secure Seller’s obligations to Company under this PPA (the “</w:t>
      </w:r>
      <w:r>
        <w:rPr>
          <w:u w:val="single"/>
        </w:rPr>
        <w:t>Security Fund</w:t>
      </w:r>
      <w:r>
        <w:t xml:space="preserve">”), in accordance with this </w:t>
      </w:r>
      <w:r w:rsidR="0058598E">
        <w:rPr>
          <w:u w:val="single"/>
        </w:rPr>
        <w:fldChar w:fldCharType="begin"/>
      </w:r>
      <w:r w:rsidR="0058598E">
        <w:instrText xml:space="preserve"> REF _Ref149743410 \w \h </w:instrText>
      </w:r>
      <w:r w:rsidR="0058598E">
        <w:rPr>
          <w:u w:val="single"/>
        </w:rPr>
      </w:r>
      <w:r w:rsidR="0058598E">
        <w:rPr>
          <w:u w:val="single"/>
        </w:rPr>
        <w:fldChar w:fldCharType="separate"/>
      </w:r>
      <w:r w:rsidR="0058598E">
        <w:t>Article 11</w:t>
      </w:r>
      <w:r w:rsidR="0058598E">
        <w:rPr>
          <w:u w:val="single"/>
        </w:rPr>
        <w:fldChar w:fldCharType="end"/>
      </w:r>
      <w:r>
        <w:t>.</w:t>
      </w:r>
      <w:bookmarkEnd w:id="306"/>
      <w:r>
        <w:t xml:space="preserve">  </w:t>
      </w:r>
    </w:p>
    <w:p w14:paraId="0B337F78" w14:textId="69F15DB1" w:rsidR="00B63F33" w:rsidRDefault="00B63F33" w:rsidP="002B7809">
      <w:pPr>
        <w:pStyle w:val="ArticleL3"/>
      </w:pPr>
      <w:r>
        <w:t xml:space="preserve">Seller shall establish and fund the initial Security Fund in the amount of </w:t>
      </w:r>
      <w:r>
        <w:rPr>
          <w:i/>
        </w:rPr>
        <w:t>[</w:t>
      </w:r>
      <w:r>
        <w:rPr>
          <w:i/>
          <w:color w:val="FF0000"/>
          <w:highlight w:val="yellow"/>
        </w:rPr>
        <w:t>insert $200/kW] multiplied by the number of kW in the Facility Nameplate Capacity</w:t>
      </w:r>
      <w:r>
        <w:rPr>
          <w:i/>
        </w:rPr>
        <w:t>]</w:t>
      </w:r>
      <w:r>
        <w:t xml:space="preserve">, no later than thirty (30) Days following the Effective Date.  Within five (5) Business Days following COD, the amount of the Security Fund shall be reduced to </w:t>
      </w:r>
      <w:r>
        <w:rPr>
          <w:i/>
        </w:rPr>
        <w:t>[</w:t>
      </w:r>
      <w:r>
        <w:rPr>
          <w:i/>
          <w:color w:val="FF0000"/>
          <w:highlight w:val="yellow"/>
        </w:rPr>
        <w:t>insert $75/kW multiplied by the number of kW in the Facility Nameplate Capacity</w:t>
      </w:r>
      <w:r>
        <w:rPr>
          <w:i/>
        </w:rPr>
        <w:t>]</w:t>
      </w:r>
      <w:r>
        <w:t xml:space="preserve">. </w:t>
      </w:r>
    </w:p>
    <w:p w14:paraId="51ADD0A6" w14:textId="41A03DC7" w:rsidR="00B63F33" w:rsidRDefault="00B63F33" w:rsidP="002B7809">
      <w:pPr>
        <w:pStyle w:val="ArticleL3"/>
      </w:pPr>
      <w:r>
        <w:t xml:space="preserve">Without notice to Seller, Company may draw from the Security Fund such amounts as are necessary to recover amounts owing to Company pursuant to this PPA, including any Liquidated Delay Damages, Actual Damages, liquidated damages for failure to achieve COD, and any amounts for which Company is entitled to indemnification under this PPA.  Company may, in its sole discretion, draw all or any part of such amounts from any form of security to the extent available pursuant to this </w:t>
      </w:r>
      <w:r w:rsidR="0058598E">
        <w:rPr>
          <w:u w:val="single"/>
        </w:rPr>
        <w:fldChar w:fldCharType="begin"/>
      </w:r>
      <w:r w:rsidR="0058598E">
        <w:instrText xml:space="preserve"> REF _Ref149743422 \w \h </w:instrText>
      </w:r>
      <w:r w:rsidR="0058598E">
        <w:rPr>
          <w:u w:val="single"/>
        </w:rPr>
      </w:r>
      <w:r w:rsidR="0058598E">
        <w:rPr>
          <w:u w:val="single"/>
        </w:rPr>
        <w:fldChar w:fldCharType="separate"/>
      </w:r>
      <w:r w:rsidR="0058598E">
        <w:t>Article 11</w:t>
      </w:r>
      <w:r w:rsidR="0058598E">
        <w:rPr>
          <w:u w:val="single"/>
        </w:rPr>
        <w:fldChar w:fldCharType="end"/>
      </w:r>
      <w:r>
        <w:t xml:space="preserve"> and in any </w:t>
      </w:r>
      <w:r>
        <w:lastRenderedPageBreak/>
        <w:t xml:space="preserve">sequence Company may select.  Company’s failure or delay to draw any amount from the Security Fund in any instance shall not prejudice Company’s rights to subsequently recover such amount from the Security Fund or in any other manner.   </w:t>
      </w:r>
    </w:p>
    <w:p w14:paraId="142A3F0C" w14:textId="77777777" w:rsidR="00B63F33" w:rsidRDefault="00B63F33" w:rsidP="002B7809">
      <w:pPr>
        <w:pStyle w:val="ArticleL3"/>
      </w:pPr>
      <w:r>
        <w:t xml:space="preserve">Company shall notify Seller within five (5) Business Days following any draw on the Security Fund by Company, including the amount thereof and the basis therefor. </w:t>
      </w:r>
    </w:p>
    <w:p w14:paraId="1FE1FBEC" w14:textId="24D6B7D4" w:rsidR="00B63F33" w:rsidRDefault="00B63F33" w:rsidP="003D756B">
      <w:pPr>
        <w:pStyle w:val="ArticleL2"/>
      </w:pPr>
      <w:bookmarkStart w:id="307" w:name="_Toc147494877"/>
      <w:bookmarkStart w:id="308" w:name="_Toc433954002"/>
      <w:bookmarkStart w:id="309" w:name="_Toc433954160"/>
      <w:r w:rsidRPr="003D756B">
        <w:rPr>
          <w:rStyle w:val="ArticleL2UnderlineChar"/>
        </w:rPr>
        <w:t>Replenishment</w:t>
      </w:r>
      <w:bookmarkEnd w:id="307"/>
      <w:r>
        <w:t>.</w:t>
      </w:r>
      <w:bookmarkEnd w:id="308"/>
      <w:bookmarkEnd w:id="309"/>
      <w:r>
        <w:t xml:space="preserve">  Seller shall replenish the Security Fund to the applicable levels set forth in Section 11.1(B) within fifteen (15) Business Days after Company makes a draw on the Security Fund; </w:t>
      </w:r>
      <w:r w:rsidRPr="003D756B">
        <w:rPr>
          <w:i/>
        </w:rPr>
        <w:t>provided however,</w:t>
      </w:r>
      <w:r>
        <w:t xml:space="preserve"> following COD such replenishment shall not exceed the amount remaining under the Damage Cap (as provided in </w:t>
      </w:r>
      <w:r w:rsidRPr="003D756B">
        <w:rPr>
          <w:u w:val="single"/>
        </w:rPr>
        <w:t xml:space="preserve">Section </w:t>
      </w:r>
      <w:r w:rsidR="0058598E">
        <w:rPr>
          <w:u w:val="single"/>
        </w:rPr>
        <w:fldChar w:fldCharType="begin"/>
      </w:r>
      <w:r w:rsidR="0058598E">
        <w:rPr>
          <w:u w:val="single"/>
        </w:rPr>
        <w:instrText xml:space="preserve"> REF _Ref149743445 \w \h </w:instrText>
      </w:r>
      <w:r w:rsidR="0058598E">
        <w:rPr>
          <w:u w:val="single"/>
        </w:rPr>
      </w:r>
      <w:r w:rsidR="0058598E">
        <w:rPr>
          <w:u w:val="single"/>
        </w:rPr>
        <w:fldChar w:fldCharType="separate"/>
      </w:r>
      <w:r w:rsidR="0058598E">
        <w:rPr>
          <w:u w:val="single"/>
        </w:rPr>
        <w:t>12.4(A)</w:t>
      </w:r>
      <w:r w:rsidR="0058598E">
        <w:rPr>
          <w:u w:val="single"/>
        </w:rPr>
        <w:fldChar w:fldCharType="end"/>
      </w:r>
      <w:r>
        <w:t xml:space="preserve">).  Notwithstanding the foregoing, within fifteen (15) Business Days after Company makes a draw on the Security Fund associated with the damages described in </w:t>
      </w:r>
      <w:r w:rsidRPr="003D756B">
        <w:rPr>
          <w:u w:val="single"/>
        </w:rPr>
        <w:t xml:space="preserve">Section </w:t>
      </w:r>
      <w:r w:rsidR="0058598E">
        <w:rPr>
          <w:u w:val="single"/>
        </w:rPr>
        <w:fldChar w:fldCharType="begin"/>
      </w:r>
      <w:r w:rsidR="0058598E">
        <w:rPr>
          <w:u w:val="single"/>
        </w:rPr>
        <w:instrText xml:space="preserve"> REF _Ref149743454 \w \h </w:instrText>
      </w:r>
      <w:r w:rsidR="0058598E">
        <w:rPr>
          <w:u w:val="single"/>
        </w:rPr>
      </w:r>
      <w:r w:rsidR="0058598E">
        <w:rPr>
          <w:u w:val="single"/>
        </w:rPr>
        <w:fldChar w:fldCharType="separate"/>
      </w:r>
      <w:r w:rsidR="0058598E">
        <w:rPr>
          <w:u w:val="single"/>
        </w:rPr>
        <w:t>12.4(B)</w:t>
      </w:r>
      <w:r w:rsidR="0058598E">
        <w:rPr>
          <w:u w:val="single"/>
        </w:rPr>
        <w:fldChar w:fldCharType="end"/>
      </w:r>
      <w:r>
        <w:t>, Seller shall replenish all amounts drawn from the Security Fund.</w:t>
      </w:r>
    </w:p>
    <w:p w14:paraId="3B8A4694" w14:textId="0F1A4E1A" w:rsidR="00B63F33" w:rsidRDefault="00B63F33" w:rsidP="002B7809">
      <w:pPr>
        <w:pStyle w:val="ArticleL2"/>
      </w:pPr>
      <w:bookmarkStart w:id="310" w:name="_Toc147494878"/>
      <w:bookmarkStart w:id="311" w:name="_Toc433954003"/>
      <w:bookmarkStart w:id="312" w:name="_Toc433954161"/>
      <w:bookmarkStart w:id="313" w:name="_Ref149743484"/>
      <w:bookmarkStart w:id="314" w:name="_Ref149743543"/>
      <w:r w:rsidRPr="003D756B">
        <w:rPr>
          <w:rStyle w:val="ArticleL2UnderlineChar"/>
        </w:rPr>
        <w:t>Form</w:t>
      </w:r>
      <w:bookmarkEnd w:id="310"/>
      <w:r>
        <w:t>.</w:t>
      </w:r>
      <w:bookmarkEnd w:id="311"/>
      <w:bookmarkEnd w:id="312"/>
      <w:bookmarkEnd w:id="313"/>
      <w:bookmarkEnd w:id="314"/>
      <w:r>
        <w:t xml:space="preserve">  </w:t>
      </w:r>
    </w:p>
    <w:p w14:paraId="42C27E4C" w14:textId="0CE8F25E" w:rsidR="00B63F33" w:rsidRDefault="00B63F33" w:rsidP="002B7809">
      <w:pPr>
        <w:pStyle w:val="ArticleL3"/>
      </w:pPr>
      <w:bookmarkStart w:id="315" w:name="_Ref149810561"/>
      <w:r>
        <w:t xml:space="preserve">The Security Fund may be in the form of an irrevocable standby letter of credit substantially in the form of </w:t>
      </w:r>
      <w:r w:rsidR="009076E2" w:rsidRPr="009076E2">
        <w:rPr>
          <w:u w:val="single"/>
        </w:rPr>
        <w:t xml:space="preserve">Exhibit G - Form </w:t>
      </w:r>
      <w:r w:rsidR="009076E2">
        <w:rPr>
          <w:u w:val="single"/>
        </w:rPr>
        <w:t>o</w:t>
      </w:r>
      <w:r w:rsidR="009076E2" w:rsidRPr="009076E2">
        <w:rPr>
          <w:u w:val="single"/>
        </w:rPr>
        <w:t xml:space="preserve">f Letter </w:t>
      </w:r>
      <w:r w:rsidR="009076E2">
        <w:rPr>
          <w:u w:val="single"/>
        </w:rPr>
        <w:t>o</w:t>
      </w:r>
      <w:r w:rsidR="009076E2" w:rsidRPr="009076E2">
        <w:rPr>
          <w:u w:val="single"/>
        </w:rPr>
        <w:t>f Credit</w:t>
      </w:r>
      <w:r>
        <w:t xml:space="preserve"> (a “</w:t>
      </w:r>
      <w:r>
        <w:rPr>
          <w:u w:val="single"/>
        </w:rPr>
        <w:t>Letter of Credit</w:t>
      </w:r>
      <w:r>
        <w:t>”) from a financial institution acceptable to Company (“</w:t>
      </w:r>
      <w:r>
        <w:rPr>
          <w:u w:val="single"/>
        </w:rPr>
        <w:t>Issuer</w:t>
      </w:r>
      <w:r>
        <w:t>”).</w:t>
      </w:r>
      <w:bookmarkEnd w:id="315"/>
      <w:r>
        <w:t xml:space="preserve"> </w:t>
      </w:r>
    </w:p>
    <w:p w14:paraId="3A73FDFB" w14:textId="3DE957E5" w:rsidR="00B63F33" w:rsidRDefault="00F911CA" w:rsidP="002B7809">
      <w:pPr>
        <w:pStyle w:val="ArticleL4"/>
      </w:pPr>
      <w:r>
        <w:t xml:space="preserve">The letter of credit must be issued by a bank or other financial institution that is acceptable to Company, with a minimum rating of A- by Standard &amp; Poor’s and A3 from Moody’s (unenhanced by third-party support). No letters of credit will be accepted from banks which are rated below A-/A3 by one or more rating agencies. (If there are split ratings amongst rating agencies, the Company will use the lowest of the different ratings within the same rating agency and amongst different rating agencies). The letter of credit must be issued by a U.S. branch/office and such branch/office must have an acceptable minimum rating of A-/A3 on its own by at least one of the rating agencies.  If such rating is equivalent to A-/A3, the Issuer must not be on credit watch or have a negative outlook by any rating agency.  The above ratings are defined as follows (if available): Long term issuer rating, Long </w:t>
      </w:r>
      <w:bookmarkStart w:id="316" w:name="_cp_change_60"/>
      <w:r w:rsidR="00A81BBF">
        <w:t xml:space="preserve">Term </w:t>
      </w:r>
      <w:bookmarkEnd w:id="316"/>
      <w:r>
        <w:t xml:space="preserve">Senior Unsecured rating or </w:t>
      </w:r>
      <w:proofErr w:type="gramStart"/>
      <w:r>
        <w:t>Long Term</w:t>
      </w:r>
      <w:proofErr w:type="gramEnd"/>
      <w:r>
        <w:t xml:space="preserve"> Counterparty Risk Assessment/Rating (for Moody’s). </w:t>
      </w:r>
    </w:p>
    <w:p w14:paraId="0EE34DE5" w14:textId="01EE283A" w:rsidR="00B63F33" w:rsidRDefault="00B63F33" w:rsidP="002B7809">
      <w:pPr>
        <w:pStyle w:val="ArticleL4"/>
      </w:pPr>
      <w:r>
        <w:t xml:space="preserve">The Letter of Credit must be for a minimum term of three hundred sixty (360) Days.  Seller shall give Company at least thirty (30) Days advance notice prior to any expiration or earlier termination of the Letter of Credit.  Seller shall cause the renewal or extension of the Letter of Credit for additional consecutive terms of three hundred sixty (360) Days or more (or, if shorter, through the end of the period required under </w:t>
      </w:r>
      <w:r>
        <w:rPr>
          <w:u w:val="single"/>
        </w:rPr>
        <w:t xml:space="preserve">Section </w:t>
      </w:r>
      <w:r w:rsidR="0058598E">
        <w:rPr>
          <w:u w:val="single"/>
        </w:rPr>
        <w:fldChar w:fldCharType="begin"/>
      </w:r>
      <w:r w:rsidR="0058598E">
        <w:rPr>
          <w:u w:val="single"/>
        </w:rPr>
        <w:instrText xml:space="preserve"> REF _Ref149743475 \w \h </w:instrText>
      </w:r>
      <w:r w:rsidR="0058598E">
        <w:rPr>
          <w:u w:val="single"/>
        </w:rPr>
      </w:r>
      <w:r w:rsidR="0058598E">
        <w:rPr>
          <w:u w:val="single"/>
        </w:rPr>
        <w:fldChar w:fldCharType="separate"/>
      </w:r>
      <w:r w:rsidR="0058598E">
        <w:rPr>
          <w:u w:val="single"/>
        </w:rPr>
        <w:t>11.5</w:t>
      </w:r>
      <w:r w:rsidR="0058598E">
        <w:rPr>
          <w:u w:val="single"/>
        </w:rPr>
        <w:fldChar w:fldCharType="end"/>
      </w:r>
      <w:r>
        <w:t xml:space="preserve"> below) more than thirty (30) Days prior to each expiration date of the security.  If the Letter of Credit is not renewed or extended at least thirty (30) Days prior to its expiration date or otherwise is terminated early, Company shall have the right to draw immediately upon the Letter of Credit and to place the amounts so drawn in Company’s account until </w:t>
      </w:r>
      <w:r>
        <w:lastRenderedPageBreak/>
        <w:t xml:space="preserve">such time as Seller provides a substitute form of security meeting the requirements of this </w:t>
      </w:r>
      <w:r>
        <w:rPr>
          <w:u w:val="single"/>
        </w:rPr>
        <w:t xml:space="preserve">Section </w:t>
      </w:r>
      <w:r w:rsidR="0058598E">
        <w:rPr>
          <w:u w:val="single"/>
        </w:rPr>
        <w:fldChar w:fldCharType="begin"/>
      </w:r>
      <w:r w:rsidR="0058598E">
        <w:rPr>
          <w:u w:val="single"/>
        </w:rPr>
        <w:instrText xml:space="preserve"> REF _Ref149743484 \w \h </w:instrText>
      </w:r>
      <w:r w:rsidR="0058598E">
        <w:rPr>
          <w:u w:val="single"/>
        </w:rPr>
      </w:r>
      <w:r w:rsidR="0058598E">
        <w:rPr>
          <w:u w:val="single"/>
        </w:rPr>
        <w:fldChar w:fldCharType="separate"/>
      </w:r>
      <w:r w:rsidR="0058598E">
        <w:rPr>
          <w:u w:val="single"/>
        </w:rPr>
        <w:t>11.3</w:t>
      </w:r>
      <w:r w:rsidR="0058598E">
        <w:rPr>
          <w:u w:val="single"/>
        </w:rPr>
        <w:fldChar w:fldCharType="end"/>
      </w:r>
      <w:r>
        <w:t xml:space="preserve">. </w:t>
      </w:r>
    </w:p>
    <w:p w14:paraId="412FF726" w14:textId="68B55389" w:rsidR="00B63F33" w:rsidRDefault="00B63F33" w:rsidP="002B7809">
      <w:pPr>
        <w:pStyle w:val="ArticleL3"/>
      </w:pPr>
      <w:bookmarkStart w:id="317" w:name="_Ref149810017"/>
      <w:r>
        <w:t xml:space="preserve">The Security Fund may be in the form of U.S. currency deposited into an escrow account with a state- or federally chartered commercial bank with an office in the State of </w:t>
      </w:r>
      <w:r>
        <w:rPr>
          <w:i/>
          <w:color w:val="FF0000"/>
          <w:highlight w:val="yellow"/>
        </w:rPr>
        <w:t>insert OpCo home state</w:t>
      </w:r>
      <w:r>
        <w:t>], with net assets of at least $1 billion (the “</w:t>
      </w:r>
      <w:r>
        <w:rPr>
          <w:u w:val="single"/>
        </w:rPr>
        <w:t>Escrow Account</w:t>
      </w:r>
      <w:r>
        <w:t>”).</w:t>
      </w:r>
      <w:bookmarkEnd w:id="317"/>
      <w:r>
        <w:t xml:space="preserve">  </w:t>
      </w:r>
    </w:p>
    <w:p w14:paraId="6829460B" w14:textId="3A1C5B55" w:rsidR="00B63F33" w:rsidRDefault="00B63F33" w:rsidP="002B7809">
      <w:pPr>
        <w:pStyle w:val="ArticleL4"/>
      </w:pPr>
      <w:r>
        <w:t xml:space="preserve">The Escrow Account shall be governed by an escrow and account control agreement in </w:t>
      </w:r>
      <w:r w:rsidR="002A3111">
        <w:t xml:space="preserve">a </w:t>
      </w:r>
      <w:r>
        <w:t>form mutually satisfactory to Seller, Company and the escrow agent, provided that (a) Company shall hold a first and exclusive perfected security interest in the funds in the Escrow Account, (b) Company shall be permitted unilaterally to draw down any amount therein, regardless of any protest by Seller or any other party liable thereon (</w:t>
      </w:r>
      <w:r>
        <w:rPr>
          <w:i/>
          <w:iCs/>
        </w:rPr>
        <w:t>provided</w:t>
      </w:r>
      <w:r>
        <w:t xml:space="preserve"> that nothing in the escrow agreement shall preclude any protest against Company by Seller, following any draw, that such draw did not comply with this PPA), and (c) Seller shall pay all fees and expenses of the escrow agent.  </w:t>
      </w:r>
    </w:p>
    <w:p w14:paraId="1270FAA7" w14:textId="77777777" w:rsidR="00B63F33" w:rsidRDefault="00B63F33" w:rsidP="002B7809">
      <w:pPr>
        <w:pStyle w:val="ArticleL4"/>
      </w:pPr>
      <w:r>
        <w:t>Funds held in the Escrow Account may be invested as Seller may direct in any of the following:</w:t>
      </w:r>
    </w:p>
    <w:p w14:paraId="134C864D" w14:textId="77777777" w:rsidR="00B63F33" w:rsidRDefault="00B63F33" w:rsidP="002B7809">
      <w:pPr>
        <w:pStyle w:val="ArticleL5"/>
      </w:pPr>
      <w:r>
        <w:t xml:space="preserve">a money-market fund sponsored by the escrow </w:t>
      </w:r>
      <w:proofErr w:type="gramStart"/>
      <w:r>
        <w:t>agent;</w:t>
      </w:r>
      <w:proofErr w:type="gramEnd"/>
      <w:r>
        <w:t xml:space="preserve"> </w:t>
      </w:r>
    </w:p>
    <w:p w14:paraId="79C90333" w14:textId="77777777" w:rsidR="00B63F33" w:rsidRDefault="00B63F33" w:rsidP="002B7809">
      <w:pPr>
        <w:pStyle w:val="ArticleL5"/>
      </w:pPr>
      <w:r>
        <w:t xml:space="preserve">U.S. treasury obligations with a maturity of ninety (90) Days or </w:t>
      </w:r>
      <w:proofErr w:type="gramStart"/>
      <w:r>
        <w:t>less;</w:t>
      </w:r>
      <w:proofErr w:type="gramEnd"/>
    </w:p>
    <w:p w14:paraId="2F8CA374" w14:textId="26FA7AA6" w:rsidR="00B63F33" w:rsidRDefault="00B63F33" w:rsidP="002B7809">
      <w:pPr>
        <w:pStyle w:val="ArticleL5"/>
      </w:pPr>
      <w:r>
        <w:t xml:space="preserve">commercial paper rated “A” or better, with a maturity of ninety (90) </w:t>
      </w:r>
      <w:r w:rsidR="00082F1F">
        <w:t>D</w:t>
      </w:r>
      <w:r>
        <w:t>ays or less;  and</w:t>
      </w:r>
    </w:p>
    <w:p w14:paraId="41677095" w14:textId="77777777" w:rsidR="00B63F33" w:rsidRDefault="00B63F33" w:rsidP="002B7809">
      <w:pPr>
        <w:pStyle w:val="ArticleL5"/>
      </w:pPr>
      <w:r>
        <w:t>other liquid investment-grade investments with maturities of three months or less, approved by Company in advance (such approval not to be unreasonably withheld or delayed).</w:t>
      </w:r>
    </w:p>
    <w:p w14:paraId="3856DCFF" w14:textId="77777777" w:rsidR="00B63F33" w:rsidRDefault="00B63F33" w:rsidP="002B7809">
      <w:pPr>
        <w:pStyle w:val="ArticleL4"/>
      </w:pPr>
      <w:r>
        <w:t>All investment income on the Escrow Account shall be taxable to, and accrue for the benefit of, Seller.  After the Commercial Operation Date, periodic sweeps by Seller for recovery of interest earned by the escrowed funds shall be allowed, and, at any time the balance in the Escrow Account exceeds the required amount of security, the escrow agent may remit any excess to Seller.</w:t>
      </w:r>
    </w:p>
    <w:p w14:paraId="7768E672" w14:textId="496D7A08" w:rsidR="00B63F33" w:rsidRDefault="00B63F33" w:rsidP="002B7809">
      <w:pPr>
        <w:pStyle w:val="ArticleL3"/>
      </w:pPr>
      <w:bookmarkStart w:id="318" w:name="_Ref149810458"/>
      <w:r>
        <w:t xml:space="preserve">Following COD, the Security Fund may consist of a guaranty substantially in the form of </w:t>
      </w:r>
      <w:r w:rsidR="009076E2" w:rsidRPr="009076E2">
        <w:rPr>
          <w:u w:val="single"/>
        </w:rPr>
        <w:t xml:space="preserve">Exhibit H - Form </w:t>
      </w:r>
      <w:r w:rsidR="009076E2">
        <w:rPr>
          <w:u w:val="single"/>
        </w:rPr>
        <w:t>o</w:t>
      </w:r>
      <w:r w:rsidR="009076E2" w:rsidRPr="009076E2">
        <w:rPr>
          <w:u w:val="single"/>
        </w:rPr>
        <w:t>f Guaranty</w:t>
      </w:r>
      <w:r>
        <w:t>, from a parent or other guarantor (“Guarantor”) acceptable to Company in its sole and absolute discretion, and up to an amount within Company's sole and absolute discretion. Subject to Company's sole and absolute discretion, to be eligible to provide a guaranty, the proposed Guarantor must have a minimum tangible net worth of at least $250,000,000 and an Investment Grade Credit Rating (and if such Credit Rating is exactly equivalent to BBB- (S&amp;P) / Baa3 (</w:t>
      </w:r>
      <w:proofErr w:type="spellStart"/>
      <w:r>
        <w:t>Moodys</w:t>
      </w:r>
      <w:proofErr w:type="spellEnd"/>
      <w:r>
        <w:t xml:space="preserve">), the Guarantor must not be on credit watch by any rating agency).  If the Credit Rating of the Guarantor is downgraded below Investment Grade, put on credit watch, or an event occurs that (in the reasonable determination of Company) portends a Material Adverse Effect in the creditworthiness of the Guarantor, then Company may require Seller </w:t>
      </w:r>
      <w:r>
        <w:lastRenderedPageBreak/>
        <w:t>to convert the guaranty to a Security Fund instrument meeting the criteria set forth in either paragraph (A) or paragraph (B) above no later than ten (10) Days after notice from Company.</w:t>
      </w:r>
      <w:bookmarkEnd w:id="318"/>
      <w:r>
        <w:t xml:space="preserve">  </w:t>
      </w:r>
    </w:p>
    <w:p w14:paraId="0E5D8C04" w14:textId="0D10F927" w:rsidR="00B63F33" w:rsidRDefault="00B63F33" w:rsidP="002B7809">
      <w:pPr>
        <w:pStyle w:val="ArticleL3"/>
      </w:pPr>
      <w:r>
        <w:t xml:space="preserve">Upon request by Seller, Company shall negotiate in good faith immaterial changes to </w:t>
      </w:r>
      <w:r w:rsidR="009076E2" w:rsidRPr="009076E2">
        <w:rPr>
          <w:u w:val="single"/>
        </w:rPr>
        <w:t xml:space="preserve">Exhibit G - Form </w:t>
      </w:r>
      <w:r w:rsidR="009076E2">
        <w:rPr>
          <w:u w:val="single"/>
        </w:rPr>
        <w:t>o</w:t>
      </w:r>
      <w:r w:rsidR="009076E2" w:rsidRPr="009076E2">
        <w:rPr>
          <w:u w:val="single"/>
        </w:rPr>
        <w:t xml:space="preserve">f Letter </w:t>
      </w:r>
      <w:r w:rsidR="009076E2">
        <w:rPr>
          <w:u w:val="single"/>
        </w:rPr>
        <w:t>o</w:t>
      </w:r>
      <w:r w:rsidR="009076E2" w:rsidRPr="009076E2">
        <w:rPr>
          <w:u w:val="single"/>
        </w:rPr>
        <w:t>f Credit</w:t>
      </w:r>
      <w:r w:rsidR="009076E2">
        <w:rPr>
          <w:u w:val="single"/>
        </w:rPr>
        <w:t xml:space="preserve"> </w:t>
      </w:r>
      <w:r>
        <w:t xml:space="preserve">and/or </w:t>
      </w:r>
      <w:r w:rsidR="009076E2" w:rsidRPr="009076E2">
        <w:rPr>
          <w:u w:val="single"/>
        </w:rPr>
        <w:t xml:space="preserve">Exhibit H - Form </w:t>
      </w:r>
      <w:r w:rsidR="009076E2">
        <w:rPr>
          <w:u w:val="single"/>
        </w:rPr>
        <w:t>o</w:t>
      </w:r>
      <w:r w:rsidR="009076E2" w:rsidRPr="009076E2">
        <w:rPr>
          <w:u w:val="single"/>
        </w:rPr>
        <w:t>f Guaranty</w:t>
      </w:r>
      <w:r>
        <w:t xml:space="preserve">, </w:t>
      </w:r>
      <w:proofErr w:type="gramStart"/>
      <w:r>
        <w:t>provided that</w:t>
      </w:r>
      <w:proofErr w:type="gramEnd"/>
      <w:r>
        <w:t xml:space="preserve"> Seller shall pay or reimburse Company for the incremental direct expenses (including the fees and expenses of counsel) incurred by Company in connection therewith.</w:t>
      </w:r>
    </w:p>
    <w:p w14:paraId="35D13ECF" w14:textId="7F9F2174" w:rsidR="00B63F33" w:rsidRDefault="00B63F33" w:rsidP="002B7809">
      <w:pPr>
        <w:pStyle w:val="ArticleL3"/>
      </w:pPr>
      <w:r>
        <w:t xml:space="preserve">Seller may change the form of the Security Fund at any time and from time to time upon Commercially Reasonable prior notice to Company, </w:t>
      </w:r>
      <w:r>
        <w:rPr>
          <w:i/>
        </w:rPr>
        <w:t xml:space="preserve">provided, however, </w:t>
      </w:r>
      <w:r>
        <w:t xml:space="preserve">that the Security Fund must at all times satisfy the requirements of this </w:t>
      </w:r>
      <w:r w:rsidR="0058598E">
        <w:rPr>
          <w:u w:val="single"/>
        </w:rPr>
        <w:fldChar w:fldCharType="begin"/>
      </w:r>
      <w:r w:rsidR="0058598E">
        <w:instrText xml:space="preserve"> REF _Ref149743509 \w \h </w:instrText>
      </w:r>
      <w:r w:rsidR="0058598E">
        <w:rPr>
          <w:u w:val="single"/>
        </w:rPr>
      </w:r>
      <w:r w:rsidR="0058598E">
        <w:rPr>
          <w:u w:val="single"/>
        </w:rPr>
        <w:fldChar w:fldCharType="separate"/>
      </w:r>
      <w:r w:rsidR="0058598E">
        <w:t>Article 11</w:t>
      </w:r>
      <w:r w:rsidR="0058598E">
        <w:rPr>
          <w:u w:val="single"/>
        </w:rPr>
        <w:fldChar w:fldCharType="end"/>
      </w:r>
      <w:r>
        <w:t>.</w:t>
      </w:r>
    </w:p>
    <w:p w14:paraId="7A282DD0" w14:textId="570D1B97" w:rsidR="00B63F33" w:rsidRDefault="00B63F33" w:rsidP="00172ED0">
      <w:pPr>
        <w:pStyle w:val="ArticleL2"/>
      </w:pPr>
      <w:bookmarkStart w:id="319" w:name="_Toc147494879"/>
      <w:bookmarkStart w:id="320" w:name="_Toc433954004"/>
      <w:bookmarkStart w:id="321" w:name="_Toc433954162"/>
      <w:r w:rsidRPr="00172ED0">
        <w:rPr>
          <w:rStyle w:val="ArticleL2UnderlineChar"/>
        </w:rPr>
        <w:t>Replacement</w:t>
      </w:r>
      <w:bookmarkEnd w:id="319"/>
      <w:r>
        <w:t xml:space="preserve">.  In the event that the Security Fund ever fails to comply with the requirements of this </w:t>
      </w:r>
      <w:r w:rsidR="0058598E">
        <w:rPr>
          <w:u w:val="single"/>
        </w:rPr>
        <w:fldChar w:fldCharType="begin"/>
      </w:r>
      <w:r w:rsidR="0058598E">
        <w:instrText xml:space="preserve"> REF _Ref149743519 \w \h </w:instrText>
      </w:r>
      <w:r w:rsidR="0058598E">
        <w:rPr>
          <w:u w:val="single"/>
        </w:rPr>
      </w:r>
      <w:r w:rsidR="0058598E">
        <w:rPr>
          <w:u w:val="single"/>
        </w:rPr>
        <w:fldChar w:fldCharType="separate"/>
      </w:r>
      <w:r w:rsidR="0058598E">
        <w:t>Article 11</w:t>
      </w:r>
      <w:r w:rsidR="0058598E">
        <w:rPr>
          <w:u w:val="single"/>
        </w:rPr>
        <w:fldChar w:fldCharType="end"/>
      </w:r>
      <w:r>
        <w:t xml:space="preserve"> or Company determines in a Commercially Reasonable manner that an event has occurred or circumstances have developed that threaten to cause the Security Fund to fail to comply with the requirements of this </w:t>
      </w:r>
      <w:r w:rsidR="0058598E">
        <w:rPr>
          <w:u w:val="single"/>
        </w:rPr>
        <w:fldChar w:fldCharType="begin"/>
      </w:r>
      <w:r w:rsidR="0058598E">
        <w:instrText xml:space="preserve"> REF _Ref149743528 \w \h </w:instrText>
      </w:r>
      <w:r w:rsidR="0058598E">
        <w:rPr>
          <w:u w:val="single"/>
        </w:rPr>
      </w:r>
      <w:r w:rsidR="0058598E">
        <w:rPr>
          <w:u w:val="single"/>
        </w:rPr>
        <w:fldChar w:fldCharType="separate"/>
      </w:r>
      <w:r w:rsidR="0058598E">
        <w:t>Article 11</w:t>
      </w:r>
      <w:r w:rsidR="0058598E">
        <w:rPr>
          <w:u w:val="single"/>
        </w:rPr>
        <w:fldChar w:fldCharType="end"/>
      </w:r>
      <w:r>
        <w:t xml:space="preserve"> (e.g. a Guarantor is placed on negative credit watch by a rating agency), Seller shall be required to replace the Security Fund with security in compliance with </w:t>
      </w:r>
      <w:r w:rsidRPr="00172ED0">
        <w:rPr>
          <w:u w:val="single"/>
        </w:rPr>
        <w:t xml:space="preserve">Section </w:t>
      </w:r>
      <w:r w:rsidR="0058598E">
        <w:rPr>
          <w:u w:val="single"/>
        </w:rPr>
        <w:fldChar w:fldCharType="begin"/>
      </w:r>
      <w:r w:rsidR="0058598E">
        <w:rPr>
          <w:u w:val="single"/>
        </w:rPr>
        <w:instrText xml:space="preserve"> REF _Ref149743543 \w \h </w:instrText>
      </w:r>
      <w:r w:rsidR="0058598E">
        <w:rPr>
          <w:u w:val="single"/>
        </w:rPr>
      </w:r>
      <w:r w:rsidR="0058598E">
        <w:rPr>
          <w:u w:val="single"/>
        </w:rPr>
        <w:fldChar w:fldCharType="separate"/>
      </w:r>
      <w:r w:rsidR="0058598E">
        <w:rPr>
          <w:u w:val="single"/>
        </w:rPr>
        <w:t>11.3</w:t>
      </w:r>
      <w:r w:rsidR="0058598E">
        <w:rPr>
          <w:u w:val="single"/>
        </w:rPr>
        <w:fldChar w:fldCharType="end"/>
      </w:r>
      <w:r>
        <w:t xml:space="preserve"> within five (5) Days following notice thereof from Company.</w:t>
      </w:r>
      <w:bookmarkEnd w:id="320"/>
      <w:bookmarkEnd w:id="321"/>
    </w:p>
    <w:p w14:paraId="2BC422C0" w14:textId="2748B94C" w:rsidR="00B63F33" w:rsidRDefault="00B63F33" w:rsidP="00172ED0">
      <w:pPr>
        <w:pStyle w:val="ArticleL2"/>
      </w:pPr>
      <w:bookmarkStart w:id="322" w:name="_Toc147494880"/>
      <w:bookmarkStart w:id="323" w:name="_Toc433954005"/>
      <w:bookmarkStart w:id="324" w:name="_Toc433954163"/>
      <w:bookmarkStart w:id="325" w:name="_Ref149743475"/>
      <w:r w:rsidRPr="00172ED0">
        <w:rPr>
          <w:rStyle w:val="ArticleL2UnderlineChar"/>
        </w:rPr>
        <w:t>Survival</w:t>
      </w:r>
      <w:bookmarkEnd w:id="322"/>
      <w:r>
        <w:t>.  The Security Fund shall survive termination of this PPA to be available to pay any amounts owed to Company arising prior to or upon termination.  Promptly following (i) the end of the Term and the completion of all of Seller’s obligations under this PPA, or (ii) termination of this PPA for any reason prior to the Scheduled Termination Date, Company shall determine the amount, if any, owed by Seller for any obligations or damages arising out of this PPA.  Company may draw such amount and shall release the balance of the Security Fund (including any accumulated interest, if applicable) to Seller.</w:t>
      </w:r>
      <w:bookmarkEnd w:id="323"/>
      <w:bookmarkEnd w:id="324"/>
      <w:bookmarkEnd w:id="325"/>
    </w:p>
    <w:p w14:paraId="2DD57476" w14:textId="34D8330B" w:rsidR="00B63F33" w:rsidRDefault="00B63F33" w:rsidP="00172ED0">
      <w:pPr>
        <w:pStyle w:val="ArticleL2"/>
      </w:pPr>
      <w:bookmarkStart w:id="326" w:name="_Toc147494881"/>
      <w:bookmarkStart w:id="327" w:name="_Toc433954006"/>
      <w:bookmarkStart w:id="328" w:name="_Toc433954164"/>
      <w:r w:rsidRPr="00172ED0">
        <w:rPr>
          <w:rStyle w:val="ArticleL2UnderlineChar"/>
        </w:rPr>
        <w:t>Expenses</w:t>
      </w:r>
      <w:bookmarkEnd w:id="326"/>
      <w:r>
        <w:t xml:space="preserve">.  Seller shall reimburse Company for its direct expenses (including the fees and expenses of counsel) incurred by Company in connection with the preparation, negotiation, execution and/or release (including making a draw of funds) of the Security Fund under this </w:t>
      </w:r>
      <w:r w:rsidR="0058598E">
        <w:rPr>
          <w:u w:val="single"/>
        </w:rPr>
        <w:fldChar w:fldCharType="begin"/>
      </w:r>
      <w:r w:rsidR="0058598E">
        <w:instrText xml:space="preserve"> REF _Ref149743551 \w \h </w:instrText>
      </w:r>
      <w:r w:rsidR="0058598E">
        <w:rPr>
          <w:u w:val="single"/>
        </w:rPr>
      </w:r>
      <w:r w:rsidR="0058598E">
        <w:rPr>
          <w:u w:val="single"/>
        </w:rPr>
        <w:fldChar w:fldCharType="separate"/>
      </w:r>
      <w:r w:rsidR="0058598E">
        <w:t>Article 11</w:t>
      </w:r>
      <w:r w:rsidR="0058598E">
        <w:rPr>
          <w:u w:val="single"/>
        </w:rPr>
        <w:fldChar w:fldCharType="end"/>
      </w:r>
      <w:r>
        <w:t>.</w:t>
      </w:r>
      <w:bookmarkEnd w:id="327"/>
      <w:bookmarkEnd w:id="328"/>
    </w:p>
    <w:p w14:paraId="70E1A25D" w14:textId="5BC2F9EA" w:rsidR="00B63F33" w:rsidRPr="0085422B" w:rsidRDefault="00B63F33" w:rsidP="002B7809">
      <w:pPr>
        <w:pStyle w:val="ArticleL1"/>
      </w:pPr>
      <w:bookmarkStart w:id="329" w:name="_Toc288027280"/>
      <w:bookmarkStart w:id="330" w:name="_Toc433954007"/>
      <w:bookmarkStart w:id="331" w:name="_Toc433954165"/>
      <w:bookmarkStart w:id="332" w:name="_Toc147494882"/>
      <w:bookmarkStart w:id="333" w:name="_Ref149810027"/>
      <w:bookmarkStart w:id="334" w:name="_Ref149811990"/>
      <w:r>
        <w:t>Default and Remedies</w:t>
      </w:r>
      <w:bookmarkEnd w:id="329"/>
      <w:bookmarkEnd w:id="330"/>
      <w:bookmarkEnd w:id="331"/>
      <w:bookmarkEnd w:id="332"/>
      <w:bookmarkEnd w:id="333"/>
      <w:bookmarkEnd w:id="334"/>
    </w:p>
    <w:p w14:paraId="1B1EBF46" w14:textId="61FA64B7" w:rsidR="00B63F33" w:rsidRDefault="00B63F33" w:rsidP="002B7809">
      <w:pPr>
        <w:pStyle w:val="ArticleL2"/>
      </w:pPr>
      <w:bookmarkStart w:id="335" w:name="_Toc147494883"/>
      <w:bookmarkStart w:id="336" w:name="_Toc433954008"/>
      <w:bookmarkStart w:id="337" w:name="_Toc433954166"/>
      <w:bookmarkStart w:id="338" w:name="_Ref149743663"/>
      <w:bookmarkStart w:id="339" w:name="_Ref149743732"/>
      <w:bookmarkStart w:id="340" w:name="_Ref149743754"/>
      <w:bookmarkStart w:id="341" w:name="_Ref149743762"/>
      <w:bookmarkStart w:id="342" w:name="_Ref149744675"/>
      <w:bookmarkStart w:id="343" w:name="_Ref149808454"/>
      <w:bookmarkStart w:id="344" w:name="_Ref151037404"/>
      <w:r w:rsidRPr="00172ED0">
        <w:rPr>
          <w:rStyle w:val="ArticleL2UnderlineChar"/>
        </w:rPr>
        <w:t>Default by Seller: General</w:t>
      </w:r>
      <w:bookmarkEnd w:id="335"/>
      <w:r>
        <w:t>.</w:t>
      </w:r>
      <w:bookmarkEnd w:id="336"/>
      <w:bookmarkEnd w:id="337"/>
      <w:bookmarkEnd w:id="338"/>
      <w:bookmarkEnd w:id="339"/>
      <w:bookmarkEnd w:id="340"/>
      <w:bookmarkEnd w:id="341"/>
      <w:bookmarkEnd w:id="342"/>
      <w:bookmarkEnd w:id="343"/>
      <w:bookmarkEnd w:id="344"/>
      <w:r>
        <w:t xml:space="preserve">  </w:t>
      </w:r>
    </w:p>
    <w:p w14:paraId="059CB314" w14:textId="7F615BF2" w:rsidR="00B63F33" w:rsidRDefault="00B63F33" w:rsidP="002B7809">
      <w:pPr>
        <w:pStyle w:val="ArticleL3"/>
      </w:pPr>
      <w:bookmarkStart w:id="345" w:name="_Ref149812233"/>
      <w:r>
        <w:rPr>
          <w:i/>
          <w:u w:val="single"/>
        </w:rPr>
        <w:t>Events</w:t>
      </w:r>
      <w:r>
        <w:t xml:space="preserve">.  Any of the following events shall constitute a default by Seller under this PPA.  If no cure period is provided below, such default shall be deemed an Event of Default by Seller immediately upon its occurrence.  If a cure period is </w:t>
      </w:r>
      <w:proofErr w:type="gramStart"/>
      <w:r>
        <w:t>provided</w:t>
      </w:r>
      <w:proofErr w:type="gramEnd"/>
      <w:r>
        <w:t xml:space="preserve"> below, such default shall mature into an Event of Default if not cured within the indicated cure period, subject to </w:t>
      </w:r>
      <w:r>
        <w:rPr>
          <w:u w:val="single"/>
        </w:rPr>
        <w:t xml:space="preserve">Section </w:t>
      </w:r>
      <w:r w:rsidR="0058598E">
        <w:rPr>
          <w:u w:val="single"/>
        </w:rPr>
        <w:fldChar w:fldCharType="begin"/>
      </w:r>
      <w:r w:rsidR="0058598E">
        <w:rPr>
          <w:u w:val="single"/>
        </w:rPr>
        <w:instrText xml:space="preserve"> REF _Ref149743569 \w \h </w:instrText>
      </w:r>
      <w:r w:rsidR="0058598E">
        <w:rPr>
          <w:u w:val="single"/>
        </w:rPr>
      </w:r>
      <w:r w:rsidR="0058598E">
        <w:rPr>
          <w:u w:val="single"/>
        </w:rPr>
        <w:fldChar w:fldCharType="separate"/>
      </w:r>
      <w:r w:rsidR="0058598E">
        <w:rPr>
          <w:u w:val="single"/>
        </w:rPr>
        <w:t>13.3</w:t>
      </w:r>
      <w:r w:rsidR="0058598E">
        <w:rPr>
          <w:u w:val="single"/>
        </w:rPr>
        <w:fldChar w:fldCharType="end"/>
      </w:r>
      <w:r>
        <w:t xml:space="preserve"> below.</w:t>
      </w:r>
      <w:bookmarkEnd w:id="345"/>
      <w:r>
        <w:t xml:space="preserve"> </w:t>
      </w:r>
    </w:p>
    <w:p w14:paraId="678EC727" w14:textId="77777777" w:rsidR="00B63F33" w:rsidRDefault="00B63F33" w:rsidP="002B7809">
      <w:pPr>
        <w:pStyle w:val="ArticleL4"/>
      </w:pPr>
      <w:r>
        <w:t xml:space="preserve">Seller’s application for, or consent (by admission of material allegations of a petition or otherwise) to, the appointment of a receiver, trustee or liquidator for Seller or for all or substantially all of its assets, or its authorization of such application or consent, or the commencement of any proceedings seeking </w:t>
      </w:r>
      <w:r>
        <w:lastRenderedPageBreak/>
        <w:t xml:space="preserve">such appointment without such authorization, consent or application, which proceedings continue undismissed or unstayed for a period of sixty (60) Days from inception.  </w:t>
      </w:r>
    </w:p>
    <w:p w14:paraId="6B7B088B" w14:textId="77777777" w:rsidR="00B63F33" w:rsidRDefault="00B63F33" w:rsidP="002B7809">
      <w:pPr>
        <w:pStyle w:val="ArticleL4"/>
        <w:numPr>
          <w:ilvl w:val="0"/>
          <w:numId w:val="0"/>
        </w:numPr>
        <w:ind w:left="2520"/>
      </w:pPr>
      <w:r w:rsidRPr="005357FF">
        <w:rPr>
          <w:i/>
        </w:rPr>
        <w:t>Cure Period</w:t>
      </w:r>
      <w:r>
        <w:t xml:space="preserve">:  </w:t>
      </w:r>
      <w:r>
        <w:tab/>
        <w:t>None.</w:t>
      </w:r>
    </w:p>
    <w:p w14:paraId="6A03B37B" w14:textId="77777777" w:rsidR="00B63F33" w:rsidRDefault="00B63F33" w:rsidP="002B7809">
      <w:pPr>
        <w:pStyle w:val="ArticleL4"/>
      </w:pPr>
      <w:r>
        <w:t xml:space="preserve">Seller’s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Seller without such authorization, application or consent, which proceedings remain undismissed or unstayed for sixty (60) Days from its inception or which result in adjudication of bankruptcy or insolvency within such time.  </w:t>
      </w:r>
    </w:p>
    <w:p w14:paraId="2B09609C" w14:textId="77777777" w:rsidR="00B63F33" w:rsidRDefault="00B63F33" w:rsidP="002B7809">
      <w:pPr>
        <w:pStyle w:val="ArticleL4"/>
        <w:numPr>
          <w:ilvl w:val="0"/>
          <w:numId w:val="0"/>
        </w:numPr>
        <w:ind w:left="2520"/>
      </w:pPr>
      <w:r w:rsidRPr="005357FF">
        <w:rPr>
          <w:i/>
        </w:rPr>
        <w:t>Cure Period</w:t>
      </w:r>
      <w:r>
        <w:t xml:space="preserve">:  </w:t>
      </w:r>
      <w:r>
        <w:tab/>
        <w:t>None.</w:t>
      </w:r>
    </w:p>
    <w:p w14:paraId="21CBFBDE" w14:textId="628D314B" w:rsidR="00B63F33" w:rsidRDefault="00B63F33" w:rsidP="002B7809">
      <w:pPr>
        <w:pStyle w:val="ArticleL4"/>
      </w:pPr>
      <w:r>
        <w:t xml:space="preserve">Seller’s assignment of this PPA, the Facility, or any Change of Control, not </w:t>
      </w:r>
      <w:proofErr w:type="gramStart"/>
      <w:r>
        <w:t>permitted</w:t>
      </w:r>
      <w:proofErr w:type="gramEnd"/>
      <w:r>
        <w:t xml:space="preserve"> by </w:t>
      </w:r>
      <w:r>
        <w:rPr>
          <w:u w:val="single"/>
        </w:rPr>
        <w:t xml:space="preserve">Section </w:t>
      </w:r>
      <w:r w:rsidR="0058598E">
        <w:rPr>
          <w:u w:val="single"/>
        </w:rPr>
        <w:fldChar w:fldCharType="begin"/>
      </w:r>
      <w:r w:rsidR="0058598E">
        <w:rPr>
          <w:u w:val="single"/>
        </w:rPr>
        <w:instrText xml:space="preserve"> REF _Ref149743583 \w \h </w:instrText>
      </w:r>
      <w:r w:rsidR="0058598E">
        <w:rPr>
          <w:u w:val="single"/>
        </w:rPr>
      </w:r>
      <w:r w:rsidR="0058598E">
        <w:rPr>
          <w:u w:val="single"/>
        </w:rPr>
        <w:fldChar w:fldCharType="separate"/>
      </w:r>
      <w:r w:rsidR="0058598E">
        <w:rPr>
          <w:u w:val="single"/>
        </w:rPr>
        <w:t>19.1</w:t>
      </w:r>
      <w:r w:rsidR="0058598E">
        <w:rPr>
          <w:u w:val="single"/>
        </w:rPr>
        <w:fldChar w:fldCharType="end"/>
      </w:r>
      <w:r>
        <w:t xml:space="preserve">.  </w:t>
      </w:r>
    </w:p>
    <w:p w14:paraId="298A3A28" w14:textId="77777777" w:rsidR="00B63F33" w:rsidRDefault="00B63F33" w:rsidP="002B7809">
      <w:pPr>
        <w:pStyle w:val="ArticleL4"/>
        <w:numPr>
          <w:ilvl w:val="0"/>
          <w:numId w:val="0"/>
        </w:numPr>
        <w:ind w:left="2520"/>
      </w:pPr>
      <w:r w:rsidRPr="005357FF">
        <w:rPr>
          <w:i/>
        </w:rPr>
        <w:t>Cure Period</w:t>
      </w:r>
      <w:r>
        <w:t xml:space="preserve">:  </w:t>
      </w:r>
      <w:r>
        <w:tab/>
        <w:t>None.</w:t>
      </w:r>
    </w:p>
    <w:p w14:paraId="36E5E773" w14:textId="7769CE24" w:rsidR="00B63F33" w:rsidRDefault="00B63F33" w:rsidP="002B7809">
      <w:pPr>
        <w:pStyle w:val="ArticleL4"/>
      </w:pPr>
      <w:r>
        <w:t xml:space="preserve">Any representation or warranty by Seller </w:t>
      </w:r>
      <w:r w:rsidR="00AA0940">
        <w:t xml:space="preserve">that materially affects its ability to perform this PPA </w:t>
      </w:r>
      <w:r w:rsidR="00861A05">
        <w:t xml:space="preserve">(a) </w:t>
      </w:r>
      <w:r>
        <w:t xml:space="preserve">is proven to have been false in any material respect when made or, (b) ceases to remain true in all material respects during the Term, </w:t>
      </w:r>
      <w:r>
        <w:rPr>
          <w:i/>
          <w:iCs/>
        </w:rPr>
        <w:t>provided however</w:t>
      </w:r>
      <w:r>
        <w:t xml:space="preserve">, that a representation or warranty that ceases to remain true due to a change in Applicable Law shall not be considered an Event of Default.  </w:t>
      </w:r>
    </w:p>
    <w:p w14:paraId="2CECF53B" w14:textId="31584283" w:rsidR="00B63F33" w:rsidRDefault="00B63F33" w:rsidP="002B7809">
      <w:pPr>
        <w:pStyle w:val="ArticleL4"/>
        <w:numPr>
          <w:ilvl w:val="0"/>
          <w:numId w:val="0"/>
        </w:numPr>
        <w:ind w:left="2520"/>
      </w:pPr>
      <w:r>
        <w:rPr>
          <w:i/>
        </w:rPr>
        <w:t>Cure Period</w:t>
      </w:r>
      <w:r>
        <w:t xml:space="preserve">: </w:t>
      </w:r>
      <w:r>
        <w:tab/>
        <w:t xml:space="preserve">Thirty (30 Days after Company provides notice of such breach. </w:t>
      </w:r>
    </w:p>
    <w:p w14:paraId="198892BB" w14:textId="5DA8FADD" w:rsidR="00B63F33" w:rsidRDefault="00B63F33" w:rsidP="002B7809">
      <w:pPr>
        <w:pStyle w:val="ArticleL4"/>
      </w:pPr>
      <w:r>
        <w:t xml:space="preserve">Seller’s failure to </w:t>
      </w:r>
      <w:proofErr w:type="gramStart"/>
      <w:r>
        <w:t>establish</w:t>
      </w:r>
      <w:proofErr w:type="gramEnd"/>
      <w:r>
        <w:t xml:space="preserve"> and, once established, maintain the Security Fund as and in the amounts required under </w:t>
      </w:r>
      <w:r w:rsidR="0058598E">
        <w:rPr>
          <w:u w:val="single"/>
        </w:rPr>
        <w:fldChar w:fldCharType="begin"/>
      </w:r>
      <w:r w:rsidR="0058598E">
        <w:instrText xml:space="preserve"> REF _Ref149743597 \w \h </w:instrText>
      </w:r>
      <w:r w:rsidR="0058598E">
        <w:rPr>
          <w:u w:val="single"/>
        </w:rPr>
      </w:r>
      <w:r w:rsidR="0058598E">
        <w:rPr>
          <w:u w:val="single"/>
        </w:rPr>
        <w:fldChar w:fldCharType="separate"/>
      </w:r>
      <w:r w:rsidR="0058598E">
        <w:t>Article 11</w:t>
      </w:r>
      <w:r w:rsidR="0058598E">
        <w:rPr>
          <w:u w:val="single"/>
        </w:rPr>
        <w:fldChar w:fldCharType="end"/>
      </w:r>
      <w:r>
        <w:t xml:space="preserve">.   </w:t>
      </w:r>
    </w:p>
    <w:p w14:paraId="2771CF8D" w14:textId="77777777" w:rsidR="00B63F33" w:rsidRDefault="00B63F33" w:rsidP="002B7809">
      <w:pPr>
        <w:pStyle w:val="ArticleL4"/>
        <w:numPr>
          <w:ilvl w:val="0"/>
          <w:numId w:val="0"/>
        </w:numPr>
        <w:ind w:left="2520"/>
      </w:pPr>
      <w:r>
        <w:rPr>
          <w:i/>
        </w:rPr>
        <w:t>Cure Period</w:t>
      </w:r>
      <w:r>
        <w:t xml:space="preserve">: </w:t>
      </w:r>
      <w:r>
        <w:tab/>
        <w:t>Five (5) Business Days after Company provides notice of Seller’s failure.</w:t>
      </w:r>
    </w:p>
    <w:p w14:paraId="54340FDD" w14:textId="36ACCA5A" w:rsidR="00B63F33" w:rsidRDefault="00B63F33" w:rsidP="002B7809">
      <w:pPr>
        <w:pStyle w:val="ArticleL4"/>
      </w:pPr>
      <w:r>
        <w:t xml:space="preserve">Seller’s failure to obtain and </w:t>
      </w:r>
      <w:proofErr w:type="gramStart"/>
      <w:r>
        <w:t>maintain</w:t>
      </w:r>
      <w:proofErr w:type="gramEnd"/>
      <w:r>
        <w:t xml:space="preserve"> insurance in scope and amounts required under </w:t>
      </w:r>
      <w:r w:rsidR="0058598E">
        <w:rPr>
          <w:u w:val="single"/>
        </w:rPr>
        <w:fldChar w:fldCharType="begin"/>
      </w:r>
      <w:r w:rsidR="0058598E">
        <w:instrText xml:space="preserve"> REF _Ref149743615 \w \h </w:instrText>
      </w:r>
      <w:r w:rsidR="0058598E">
        <w:rPr>
          <w:u w:val="single"/>
        </w:rPr>
      </w:r>
      <w:r w:rsidR="0058598E">
        <w:rPr>
          <w:u w:val="single"/>
        </w:rPr>
        <w:fldChar w:fldCharType="separate"/>
      </w:r>
      <w:r w:rsidR="0058598E">
        <w:t>Article 16</w:t>
      </w:r>
      <w:r w:rsidR="0058598E">
        <w:rPr>
          <w:u w:val="single"/>
        </w:rPr>
        <w:fldChar w:fldCharType="end"/>
      </w:r>
      <w:r>
        <w:t>.</w:t>
      </w:r>
    </w:p>
    <w:p w14:paraId="6C51819A" w14:textId="77777777" w:rsidR="00B63F33" w:rsidRDefault="00B63F33" w:rsidP="005357FF">
      <w:pPr>
        <w:pStyle w:val="BodyText"/>
        <w:ind w:left="2430"/>
      </w:pPr>
      <w:r>
        <w:rPr>
          <w:i/>
          <w:lang w:val="en-US" w:eastAsia="en-US"/>
        </w:rPr>
        <w:t>Cure Period</w:t>
      </w:r>
      <w:r>
        <w:rPr>
          <w:lang w:val="en-US" w:eastAsia="en-US"/>
        </w:rPr>
        <w:t>:</w:t>
      </w:r>
      <w:r>
        <w:rPr>
          <w:lang w:val="en-US" w:eastAsia="en-US"/>
        </w:rPr>
        <w:tab/>
        <w:t xml:space="preserve">Five </w:t>
      </w:r>
      <w:r>
        <w:t>(5) Business Days after Company provides notice of Seller’s</w:t>
      </w:r>
      <w:r>
        <w:rPr>
          <w:lang w:val="en-US" w:eastAsia="en-US"/>
        </w:rPr>
        <w:t xml:space="preserve"> failure.</w:t>
      </w:r>
    </w:p>
    <w:p w14:paraId="0DE5D581" w14:textId="77777777" w:rsidR="00B63F33" w:rsidRDefault="00B63F33" w:rsidP="00AA0940">
      <w:pPr>
        <w:pStyle w:val="ArticleL4"/>
        <w:keepNext w:val="0"/>
      </w:pPr>
      <w:r>
        <w:t>Seller’s</w:t>
      </w:r>
      <w:r>
        <w:rPr>
          <w:lang w:val="en-CA"/>
        </w:rPr>
        <w:t xml:space="preserve"> failure to make any payment to Company as and when required by this PPA, including Liquidated Delay Damages, Actual Damages, and any required indemnification.   </w:t>
      </w:r>
    </w:p>
    <w:p w14:paraId="453C6059" w14:textId="77777777" w:rsidR="00B63F33" w:rsidRDefault="00B63F33" w:rsidP="00AA0940">
      <w:pPr>
        <w:pStyle w:val="ArticleL4"/>
        <w:keepNext w:val="0"/>
        <w:numPr>
          <w:ilvl w:val="0"/>
          <w:numId w:val="0"/>
        </w:numPr>
        <w:ind w:left="2520"/>
      </w:pPr>
      <w:r>
        <w:rPr>
          <w:i/>
          <w:lang w:val="en-CA"/>
        </w:rPr>
        <w:t>Cure Period</w:t>
      </w:r>
      <w:r>
        <w:rPr>
          <w:lang w:val="en-CA"/>
        </w:rPr>
        <w:t>: Ten (10) Business Days after Company provides notice that the amount is overdue.</w:t>
      </w:r>
    </w:p>
    <w:p w14:paraId="3D96A9F8" w14:textId="77777777" w:rsidR="00B63F33" w:rsidRDefault="00B63F33" w:rsidP="002B7809">
      <w:pPr>
        <w:pStyle w:val="ArticleL4"/>
      </w:pPr>
      <w:r>
        <w:rPr>
          <w:lang w:val="en-CA"/>
        </w:rPr>
        <w:t xml:space="preserve">The breach by Seller of the Interconnection Agreement, which breach (i) materially interferes with Seller’s production and/or delivery of any </w:t>
      </w:r>
      <w:bookmarkStart w:id="346" w:name="_Hlk59538452"/>
      <w:r>
        <w:rPr>
          <w:lang w:val="en-CA"/>
        </w:rPr>
        <w:lastRenderedPageBreak/>
        <w:t xml:space="preserve">product or service to be produced or delivered pursuant to this PPA </w:t>
      </w:r>
      <w:bookmarkEnd w:id="346"/>
      <w:r>
        <w:rPr>
          <w:lang w:val="en-CA"/>
        </w:rPr>
        <w:t>or Company’s ability to accept or receive such product or service, (ii) Company’s ability to transmit Renewable Energy beyond the Point of Delivery, and/or (iii) otherwise has a Material Adverse Effect on Company. </w:t>
      </w:r>
    </w:p>
    <w:p w14:paraId="13D801C7" w14:textId="028F82A8" w:rsidR="00B63F33" w:rsidRDefault="00B63F33" w:rsidP="00AA0940">
      <w:pPr>
        <w:pStyle w:val="ArticleL4"/>
        <w:numPr>
          <w:ilvl w:val="0"/>
          <w:numId w:val="0"/>
        </w:numPr>
        <w:ind w:left="2160"/>
        <w:rPr>
          <w:lang w:val="en-CA"/>
        </w:rPr>
      </w:pPr>
      <w:r>
        <w:rPr>
          <w:i/>
          <w:lang w:val="en-CA"/>
        </w:rPr>
        <w:t>Cure Period</w:t>
      </w:r>
      <w:r>
        <w:rPr>
          <w:lang w:val="en-CA"/>
        </w:rPr>
        <w:t>:</w:t>
      </w:r>
      <w:r>
        <w:rPr>
          <w:lang w:val="en-CA"/>
        </w:rPr>
        <w:tab/>
        <w:t xml:space="preserve">Thirty (30) Days from the breach or the cure period allowed by the Interconnection Agreement (whichever is longer).   </w:t>
      </w:r>
    </w:p>
    <w:p w14:paraId="60C8EF35" w14:textId="28AE942D" w:rsidR="00B63F33" w:rsidRDefault="00B63F33" w:rsidP="002B7809">
      <w:pPr>
        <w:pStyle w:val="ArticleL4"/>
      </w:pPr>
      <w:r>
        <w:t>Beginning with the</w:t>
      </w:r>
      <w:r w:rsidRPr="0007631F">
        <w:t xml:space="preserve"> third Commercial Operation Year, Seller’s failure to deliver to Company at least </w:t>
      </w:r>
      <w:bookmarkStart w:id="347" w:name="_cp_change_71"/>
      <w:r w:rsidRPr="0007631F">
        <w:t>eighty-five percent (</w:t>
      </w:r>
      <w:bookmarkEnd w:id="347"/>
      <w:r w:rsidRPr="0007631F">
        <w:t>85%</w:t>
      </w:r>
      <w:bookmarkStart w:id="348" w:name="_cp_change_72"/>
      <w:r w:rsidRPr="0007631F">
        <w:t>)</w:t>
      </w:r>
      <w:bookmarkEnd w:id="348"/>
      <w:r w:rsidRPr="0007631F">
        <w:t xml:space="preserve"> of the Committed Energy in either</w:t>
      </w:r>
      <w:r w:rsidRPr="0007631F">
        <w:rPr>
          <w:lang w:bidi="he-IL"/>
        </w:rPr>
        <w:t xml:space="preserve"> three consecutive </w:t>
      </w:r>
      <w:r w:rsidRPr="0007631F">
        <w:t>Commercial Operation Year</w:t>
      </w:r>
      <w:r w:rsidRPr="0007631F">
        <w:rPr>
          <w:lang w:bidi="he-IL"/>
        </w:rPr>
        <w:t xml:space="preserve">s, or four </w:t>
      </w:r>
      <w:bookmarkStart w:id="349" w:name="_cp_change_73"/>
      <w:r w:rsidRPr="0007631F">
        <w:rPr>
          <w:lang w:bidi="he-IL"/>
        </w:rPr>
        <w:t xml:space="preserve">non-consecutive </w:t>
      </w:r>
      <w:bookmarkEnd w:id="349"/>
      <w:r w:rsidRPr="0007631F">
        <w:rPr>
          <w:lang w:bidi="he-IL"/>
        </w:rPr>
        <w:t xml:space="preserve">out of six consecutive </w:t>
      </w:r>
      <w:r w:rsidRPr="0007631F">
        <w:t>Commercial Operation Year</w:t>
      </w:r>
      <w:r w:rsidRPr="0007631F">
        <w:rPr>
          <w:lang w:bidi="he-IL"/>
        </w:rPr>
        <w:t>s.</w:t>
      </w:r>
      <w:r w:rsidRPr="0007631F">
        <w:t xml:space="preserve">  For purposes of establishing a default by Seller under this pa</w:t>
      </w:r>
      <w:r>
        <w:t xml:space="preserve">ragraph, the Committed Energy shall be adjusted as provided in </w:t>
      </w:r>
      <w:r w:rsidR="000E4265" w:rsidRPr="000E4265">
        <w:rPr>
          <w:u w:val="single"/>
        </w:rPr>
        <w:t xml:space="preserve">Exhibit </w:t>
      </w:r>
      <w:r w:rsidR="000E4265">
        <w:rPr>
          <w:u w:val="single"/>
        </w:rPr>
        <w:t>M</w:t>
      </w:r>
      <w:r w:rsidR="000E4265" w:rsidRPr="000E4265">
        <w:rPr>
          <w:u w:val="single"/>
        </w:rPr>
        <w:t xml:space="preserve"> - Methodology </w:t>
      </w:r>
      <w:r w:rsidR="000E4265">
        <w:rPr>
          <w:u w:val="single"/>
        </w:rPr>
        <w:t>f</w:t>
      </w:r>
      <w:r w:rsidR="000E4265" w:rsidRPr="000E4265">
        <w:rPr>
          <w:u w:val="single"/>
        </w:rPr>
        <w:t>or Adjusting Committed Energy</w:t>
      </w:r>
      <w:r>
        <w:t xml:space="preserve">.  </w:t>
      </w:r>
    </w:p>
    <w:p w14:paraId="2E9DB467" w14:textId="390CF144" w:rsidR="00B63F33" w:rsidRDefault="00B63F33" w:rsidP="002B7809">
      <w:pPr>
        <w:pStyle w:val="ArticleL4"/>
        <w:numPr>
          <w:ilvl w:val="0"/>
          <w:numId w:val="0"/>
        </w:numPr>
        <w:ind w:left="2160"/>
      </w:pPr>
      <w:r>
        <w:rPr>
          <w:i/>
        </w:rPr>
        <w:t>Cure Period</w:t>
      </w:r>
      <w:r>
        <w:t>:</w:t>
      </w:r>
      <w:r>
        <w:tab/>
        <w:t xml:space="preserve">Seller shall be deemed to have cured this default if, in the Commercial Operation Year following such default, Seller delivers to Company at least ninety percent (90%) of the Committed Energy for such Commercial Operation Year (again as adjusted pursuant to </w:t>
      </w:r>
      <w:r w:rsidR="000E4265" w:rsidRPr="000E4265">
        <w:rPr>
          <w:u w:val="single"/>
        </w:rPr>
        <w:t xml:space="preserve">Exhibit </w:t>
      </w:r>
      <w:r w:rsidR="000E4265">
        <w:rPr>
          <w:u w:val="single"/>
        </w:rPr>
        <w:t>M</w:t>
      </w:r>
      <w:r w:rsidR="000E4265" w:rsidRPr="000E4265">
        <w:rPr>
          <w:u w:val="single"/>
        </w:rPr>
        <w:t xml:space="preserve"> - Methodology </w:t>
      </w:r>
      <w:r w:rsidR="000E4265">
        <w:rPr>
          <w:u w:val="single"/>
        </w:rPr>
        <w:t>f</w:t>
      </w:r>
      <w:r w:rsidR="000E4265" w:rsidRPr="000E4265">
        <w:rPr>
          <w:u w:val="single"/>
        </w:rPr>
        <w:t>or Adjusting Committed Energy</w:t>
      </w:r>
      <w:r>
        <w:t>).</w:t>
      </w:r>
    </w:p>
    <w:p w14:paraId="76FE5BC8" w14:textId="07BB1ED6" w:rsidR="00B63F33" w:rsidRDefault="00B63F33" w:rsidP="002B7809">
      <w:pPr>
        <w:pStyle w:val="ArticleL4"/>
      </w:pPr>
      <w:bookmarkStart w:id="350" w:name="_Ref149812206"/>
      <w:r>
        <w:rPr>
          <w:lang w:val="en-CA"/>
        </w:rPr>
        <w:t xml:space="preserve">The failure by Seller to perform or observe any other material obligation to Company under this PPA, unexcused by Force Majeure (other than failure to achieve COD, which is addressed in </w:t>
      </w:r>
      <w:r>
        <w:rPr>
          <w:u w:val="single"/>
          <w:lang w:val="en-CA"/>
        </w:rPr>
        <w:t xml:space="preserve">Section </w:t>
      </w:r>
      <w:r w:rsidR="0058598E">
        <w:rPr>
          <w:u w:val="single"/>
          <w:lang w:val="en-CA"/>
        </w:rPr>
        <w:fldChar w:fldCharType="begin"/>
      </w:r>
      <w:r w:rsidR="0058598E">
        <w:rPr>
          <w:u w:val="single"/>
          <w:lang w:val="en-CA"/>
        </w:rPr>
        <w:instrText xml:space="preserve"> REF _Ref149743641 \w \h </w:instrText>
      </w:r>
      <w:r w:rsidR="0058598E">
        <w:rPr>
          <w:u w:val="single"/>
          <w:lang w:val="en-CA"/>
        </w:rPr>
      </w:r>
      <w:r w:rsidR="0058598E">
        <w:rPr>
          <w:u w:val="single"/>
          <w:lang w:val="en-CA"/>
        </w:rPr>
        <w:fldChar w:fldCharType="separate"/>
      </w:r>
      <w:r w:rsidR="0058598E">
        <w:rPr>
          <w:u w:val="single"/>
          <w:lang w:val="en-CA"/>
        </w:rPr>
        <w:t>12.2</w:t>
      </w:r>
      <w:r w:rsidR="0058598E">
        <w:rPr>
          <w:u w:val="single"/>
          <w:lang w:val="en-CA"/>
        </w:rPr>
        <w:fldChar w:fldCharType="end"/>
      </w:r>
      <w:r>
        <w:rPr>
          <w:lang w:val="en-CA"/>
        </w:rPr>
        <w:t xml:space="preserve"> below).</w:t>
      </w:r>
      <w:bookmarkEnd w:id="350"/>
      <w:r>
        <w:rPr>
          <w:lang w:val="en-CA"/>
        </w:rPr>
        <w:t xml:space="preserve">   </w:t>
      </w:r>
    </w:p>
    <w:p w14:paraId="1713F3EE" w14:textId="77777777" w:rsidR="00B63F33" w:rsidRDefault="00B63F33" w:rsidP="00B525E8">
      <w:pPr>
        <w:pStyle w:val="ArticleL4"/>
        <w:numPr>
          <w:ilvl w:val="0"/>
          <w:numId w:val="0"/>
        </w:numPr>
        <w:ind w:left="2160"/>
      </w:pPr>
      <w:r>
        <w:rPr>
          <w:i/>
          <w:lang w:val="en-CA"/>
        </w:rPr>
        <w:t>Cure Period</w:t>
      </w:r>
      <w:r>
        <w:rPr>
          <w:lang w:val="en-CA"/>
        </w:rPr>
        <w:t xml:space="preserve">: Thirty (30) Days after Company provides notice thereof; </w:t>
      </w:r>
      <w:r>
        <w:rPr>
          <w:i/>
          <w:lang w:val="en-CA"/>
        </w:rPr>
        <w:t>provided</w:t>
      </w:r>
      <w:r>
        <w:rPr>
          <w:lang w:val="en-CA"/>
        </w:rPr>
        <w:t xml:space="preserve">, that if such default is not reasonably capable of cure within such thirty (30) Day period, Seller shall have such additional period of time </w:t>
      </w:r>
      <w:r>
        <w:t>(not to exceed ninety (90) Days in any event) as is reasonably necessary for cure, so long as Seller initiates cure within such thirty (30) Day period and diligently prosecutes the cure to conclusion thereafter.</w:t>
      </w:r>
    </w:p>
    <w:p w14:paraId="7381B711" w14:textId="3704CBA5" w:rsidR="00B63F33" w:rsidRDefault="00B63F33" w:rsidP="002B7809">
      <w:pPr>
        <w:pStyle w:val="ArticleL4"/>
      </w:pPr>
      <w:r>
        <w:t>[</w:t>
      </w:r>
      <w:r>
        <w:rPr>
          <w:highlight w:val="yellow"/>
        </w:rPr>
        <w:t>Wind</w:t>
      </w:r>
      <w:r>
        <w:t xml:space="preserve">] </w:t>
      </w:r>
      <w:r w:rsidRPr="00EF391D">
        <w:t>[</w:t>
      </w:r>
      <w:r w:rsidRPr="00EF391D">
        <w:rPr>
          <w:i/>
          <w:iCs/>
          <w:highlight w:val="yellow"/>
        </w:rPr>
        <w:t>Solar</w:t>
      </w:r>
      <w:r w:rsidRPr="00EF391D">
        <w:t xml:space="preserve">] </w:t>
      </w:r>
      <w:r>
        <w:t xml:space="preserve">Seller’s failure to achieve an Equivalent Availability Reporting Factor of not less than ninety percent (90%) in a Commercial Operation Year, pursuant to </w:t>
      </w:r>
      <w:r w:rsidR="009076E2" w:rsidRPr="009076E2">
        <w:rPr>
          <w:u w:val="single"/>
        </w:rPr>
        <w:t>Exhibit I - A</w:t>
      </w:r>
      <w:r w:rsidR="009076E2">
        <w:rPr>
          <w:u w:val="single"/>
        </w:rPr>
        <w:t>GC</w:t>
      </w:r>
      <w:r w:rsidR="009076E2" w:rsidRPr="009076E2">
        <w:rPr>
          <w:u w:val="single"/>
        </w:rPr>
        <w:t xml:space="preserve"> Protocols; Data Collection; Availability Reporting</w:t>
      </w:r>
      <w:r>
        <w:t>.</w:t>
      </w:r>
    </w:p>
    <w:p w14:paraId="5258FD90" w14:textId="4E932A23" w:rsidR="00B63F33" w:rsidRDefault="00B63F33" w:rsidP="00B525E8">
      <w:pPr>
        <w:pStyle w:val="ArticleL4"/>
        <w:numPr>
          <w:ilvl w:val="0"/>
          <w:numId w:val="0"/>
        </w:numPr>
        <w:ind w:left="2160"/>
      </w:pPr>
      <w:r>
        <w:rPr>
          <w:i/>
        </w:rPr>
        <w:t>Cure Period</w:t>
      </w:r>
      <w:r>
        <w:t>:</w:t>
      </w:r>
      <w:r>
        <w:tab/>
        <w:t xml:space="preserve">Seller shall be deemed to have cured this default if, in the following Commercial Operation Year, Seller achieves an Equivalent Availability Reporting Factor of not less than ninety-five percent (95%), as determined pursuant to </w:t>
      </w:r>
      <w:r w:rsidR="009076E2" w:rsidRPr="009076E2">
        <w:rPr>
          <w:u w:val="single"/>
        </w:rPr>
        <w:t>Exhibit I - A</w:t>
      </w:r>
      <w:r w:rsidR="009076E2">
        <w:rPr>
          <w:u w:val="single"/>
        </w:rPr>
        <w:t>GC</w:t>
      </w:r>
      <w:r w:rsidR="009076E2" w:rsidRPr="009076E2">
        <w:rPr>
          <w:u w:val="single"/>
        </w:rPr>
        <w:t xml:space="preserve"> Protocols; Data Collection; Availability Reporting</w:t>
      </w:r>
      <w:r>
        <w:t>.</w:t>
      </w:r>
    </w:p>
    <w:p w14:paraId="797FC666" w14:textId="38760731" w:rsidR="0007045C" w:rsidRDefault="0007045C" w:rsidP="002B7809">
      <w:pPr>
        <w:pStyle w:val="ArticleL4"/>
      </w:pPr>
      <w:r>
        <w:t xml:space="preserve">Seller removes from the Site equipment upon which the Commercial Operation Test has been based, except for the purposes of </w:t>
      </w:r>
      <w:r>
        <w:lastRenderedPageBreak/>
        <w:t xml:space="preserve">replacement, refurbishment, repair or maintenance, and the equipment is not returned within five (5) </w:t>
      </w:r>
      <w:r w:rsidR="0027336B">
        <w:t>D</w:t>
      </w:r>
      <w:r>
        <w:t>ays after notice from Company.</w:t>
      </w:r>
    </w:p>
    <w:p w14:paraId="35EB3BD4" w14:textId="77777777" w:rsidR="0007045C" w:rsidRPr="0007631F" w:rsidRDefault="0007045C" w:rsidP="002B7809">
      <w:pPr>
        <w:pStyle w:val="ArticleL4"/>
        <w:numPr>
          <w:ilvl w:val="0"/>
          <w:numId w:val="0"/>
        </w:numPr>
        <w:ind w:left="2534"/>
        <w:rPr>
          <w:color w:val="000000" w:themeColor="text1"/>
        </w:rPr>
      </w:pPr>
      <w:r w:rsidRPr="005357FF">
        <w:rPr>
          <w:i/>
          <w:u w:color="0000FF"/>
        </w:rPr>
        <w:t>Cure Period</w:t>
      </w:r>
      <w:r>
        <w:rPr>
          <w:u w:color="0000FF"/>
        </w:rPr>
        <w:t xml:space="preserve">: Equipment returned five (5) Days after Company </w:t>
      </w:r>
      <w:r w:rsidRPr="0007631F">
        <w:rPr>
          <w:color w:val="000000" w:themeColor="text1"/>
        </w:rPr>
        <w:t>provides notice.</w:t>
      </w:r>
    </w:p>
    <w:p w14:paraId="627EB24E" w14:textId="6405411C" w:rsidR="000E319D" w:rsidRPr="0007631F" w:rsidRDefault="000E319D" w:rsidP="002B7809">
      <w:pPr>
        <w:pStyle w:val="ArticleL4"/>
      </w:pPr>
      <w:bookmarkStart w:id="351" w:name="_cp_change_85"/>
      <w:bookmarkStart w:id="352" w:name="_cp_change_82"/>
      <w:r w:rsidRPr="0007631F">
        <w:t>S</w:t>
      </w:r>
      <w:bookmarkEnd w:id="351"/>
      <w:r w:rsidRPr="0007631F">
        <w:t xml:space="preserve">eller makes any material misrepresentation or omission in any </w:t>
      </w:r>
      <w:bookmarkStart w:id="353" w:name="_cp_change_87"/>
      <w:bookmarkEnd w:id="352"/>
      <w:r w:rsidRPr="0007631F">
        <w:t xml:space="preserve">report (including any status report, logs, and reports required under </w:t>
      </w:r>
      <w:r w:rsidRPr="007F208F">
        <w:rPr>
          <w:u w:val="single"/>
        </w:rPr>
        <w:t>Section 4.1</w:t>
      </w:r>
      <w:r w:rsidRPr="0007631F">
        <w:t xml:space="preserve">, </w:t>
      </w:r>
      <w:r w:rsidRPr="005357FF">
        <w:rPr>
          <w:u w:val="single"/>
        </w:rPr>
        <w:t xml:space="preserve">Section </w:t>
      </w:r>
      <w:r w:rsidR="00324A35">
        <w:rPr>
          <w:u w:val="single"/>
        </w:rPr>
        <w:fldChar w:fldCharType="begin"/>
      </w:r>
      <w:r w:rsidR="00324A35">
        <w:rPr>
          <w:u w:val="single"/>
        </w:rPr>
        <w:instrText xml:space="preserve"> REF _Ref149743717 \w \h </w:instrText>
      </w:r>
      <w:r w:rsidR="00324A35">
        <w:rPr>
          <w:u w:val="single"/>
        </w:rPr>
      </w:r>
      <w:r w:rsidR="00324A35">
        <w:rPr>
          <w:u w:val="single"/>
        </w:rPr>
        <w:fldChar w:fldCharType="separate"/>
      </w:r>
      <w:r w:rsidR="00324A35">
        <w:rPr>
          <w:u w:val="single"/>
        </w:rPr>
        <w:t>10.3</w:t>
      </w:r>
      <w:r w:rsidR="00324A35">
        <w:rPr>
          <w:u w:val="single"/>
        </w:rPr>
        <w:fldChar w:fldCharType="end"/>
      </w:r>
      <w:r w:rsidRPr="0007631F">
        <w:t xml:space="preserve">, or </w:t>
      </w:r>
      <w:r w:rsidR="009076E2" w:rsidRPr="009076E2">
        <w:rPr>
          <w:u w:val="single"/>
        </w:rPr>
        <w:t>Exhibit I - A</w:t>
      </w:r>
      <w:r w:rsidR="009076E2">
        <w:rPr>
          <w:u w:val="single"/>
        </w:rPr>
        <w:t>GC</w:t>
      </w:r>
      <w:r w:rsidR="009076E2" w:rsidRPr="009076E2">
        <w:rPr>
          <w:u w:val="single"/>
        </w:rPr>
        <w:t xml:space="preserve"> Protocols; Data Collection; Availability Reporting</w:t>
      </w:r>
      <w:r w:rsidRPr="0007631F">
        <w:t>, to be made or furnished by Seller pursuant to this PPA.</w:t>
      </w:r>
      <w:bookmarkStart w:id="354" w:name="_cp_change_86"/>
      <w:bookmarkEnd w:id="353"/>
    </w:p>
    <w:p w14:paraId="318B52C0" w14:textId="77777777" w:rsidR="000E319D" w:rsidRPr="0007631F" w:rsidRDefault="000E319D" w:rsidP="00AA0940">
      <w:pPr>
        <w:pStyle w:val="ListParagraph"/>
        <w:spacing w:after="240"/>
        <w:ind w:left="1440" w:firstLine="720"/>
        <w:rPr>
          <w:rFonts w:cs="Arial"/>
          <w:color w:val="000000" w:themeColor="text1"/>
        </w:rPr>
      </w:pPr>
      <w:bookmarkStart w:id="355" w:name="_cp_change_89"/>
      <w:bookmarkEnd w:id="354"/>
      <w:r w:rsidRPr="0007631F">
        <w:rPr>
          <w:rFonts w:cs="Arial"/>
          <w:i/>
          <w:color w:val="000000" w:themeColor="text1"/>
        </w:rPr>
        <w:t>Cure Period</w:t>
      </w:r>
      <w:r w:rsidRPr="0007631F">
        <w:rPr>
          <w:rFonts w:cs="Arial"/>
          <w:color w:val="000000" w:themeColor="text1"/>
        </w:rPr>
        <w:t>: Five (5) Days after Company provides notice.</w:t>
      </w:r>
      <w:bookmarkStart w:id="356" w:name="_cp_change_88"/>
      <w:bookmarkEnd w:id="355"/>
    </w:p>
    <w:p w14:paraId="3084C55C" w14:textId="0B6E03ED" w:rsidR="00B63F33" w:rsidRDefault="00B63F33" w:rsidP="002B7809">
      <w:pPr>
        <w:pStyle w:val="ArticleL3"/>
      </w:pPr>
      <w:bookmarkStart w:id="357" w:name="_Ref149742772"/>
      <w:bookmarkEnd w:id="356"/>
      <w:r>
        <w:rPr>
          <w:i/>
          <w:u w:val="single"/>
        </w:rPr>
        <w:t>Remedies for Default</w:t>
      </w:r>
      <w:r>
        <w:t xml:space="preserve">.  In connection with any default by Seller under this </w:t>
      </w:r>
      <w:r>
        <w:rPr>
          <w:u w:val="single"/>
        </w:rPr>
        <w:t xml:space="preserve">Section </w:t>
      </w:r>
      <w:r w:rsidR="00324A35">
        <w:rPr>
          <w:u w:val="single"/>
        </w:rPr>
        <w:fldChar w:fldCharType="begin"/>
      </w:r>
      <w:r w:rsidR="00324A35">
        <w:rPr>
          <w:u w:val="single"/>
        </w:rPr>
        <w:instrText xml:space="preserve"> REF _Ref149743663 \w \h </w:instrText>
      </w:r>
      <w:r w:rsidR="00324A35">
        <w:rPr>
          <w:u w:val="single"/>
        </w:rPr>
      </w:r>
      <w:r w:rsidR="00324A35">
        <w:rPr>
          <w:u w:val="single"/>
        </w:rPr>
        <w:fldChar w:fldCharType="separate"/>
      </w:r>
      <w:r w:rsidR="00324A35">
        <w:rPr>
          <w:u w:val="single"/>
        </w:rPr>
        <w:t>12.1</w:t>
      </w:r>
      <w:r w:rsidR="00324A35">
        <w:rPr>
          <w:u w:val="single"/>
        </w:rPr>
        <w:fldChar w:fldCharType="end"/>
      </w:r>
      <w:r>
        <w:t xml:space="preserve"> (whether or not cured by Seller), Company </w:t>
      </w:r>
      <w:proofErr w:type="gramStart"/>
      <w:r>
        <w:t>may;</w:t>
      </w:r>
      <w:bookmarkStart w:id="358" w:name="_Toc288027281"/>
      <w:bookmarkEnd w:id="357"/>
      <w:proofErr w:type="gramEnd"/>
      <w:r>
        <w:t xml:space="preserve">   </w:t>
      </w:r>
    </w:p>
    <w:p w14:paraId="70941DEE" w14:textId="77777777" w:rsidR="00B63F33" w:rsidRDefault="00B63F33" w:rsidP="002B7809">
      <w:pPr>
        <w:pStyle w:val="ArticleL4"/>
      </w:pPr>
      <w:r>
        <w:t xml:space="preserve">Seek Actual Damages in such amounts and on such basis for the default as authorized by this </w:t>
      </w:r>
      <w:proofErr w:type="gramStart"/>
      <w:r>
        <w:t>PPA;</w:t>
      </w:r>
      <w:proofErr w:type="gramEnd"/>
    </w:p>
    <w:p w14:paraId="7D4D268C" w14:textId="77777777" w:rsidR="00B63F33" w:rsidRDefault="00B63F33" w:rsidP="002B7809">
      <w:pPr>
        <w:pStyle w:val="ArticleL4"/>
      </w:pPr>
      <w:r>
        <w:t>Offset against any payments due to Seller, any Actual Damages and other amounts due from Seller; and/or</w:t>
      </w:r>
    </w:p>
    <w:p w14:paraId="13CCC911" w14:textId="77777777" w:rsidR="00B63F33" w:rsidRDefault="00B63F33" w:rsidP="002B7809">
      <w:pPr>
        <w:pStyle w:val="ArticleL4"/>
      </w:pPr>
      <w:r>
        <w:t>Draw any Actual Damages and other amounts due from Seller, from the Security Fund.</w:t>
      </w:r>
    </w:p>
    <w:p w14:paraId="324A3C8F" w14:textId="119EF821" w:rsidR="00B63F33" w:rsidRDefault="00B63F33" w:rsidP="002B7809">
      <w:pPr>
        <w:pStyle w:val="ArticleL3"/>
      </w:pPr>
      <w:r>
        <w:rPr>
          <w:i/>
          <w:u w:val="single"/>
        </w:rPr>
        <w:t>Termination for Event of Default</w:t>
      </w:r>
      <w:r>
        <w:t xml:space="preserve">.  Upon and at any time following an Event of Default by Seller under this </w:t>
      </w:r>
      <w:r>
        <w:rPr>
          <w:u w:val="single"/>
        </w:rPr>
        <w:t xml:space="preserve">Section </w:t>
      </w:r>
      <w:r w:rsidR="00324A35">
        <w:rPr>
          <w:u w:val="single"/>
        </w:rPr>
        <w:fldChar w:fldCharType="begin"/>
      </w:r>
      <w:r w:rsidR="00324A35">
        <w:rPr>
          <w:u w:val="single"/>
        </w:rPr>
        <w:instrText xml:space="preserve"> REF _Ref149743732 \w \h </w:instrText>
      </w:r>
      <w:r w:rsidR="00324A35">
        <w:rPr>
          <w:u w:val="single"/>
        </w:rPr>
      </w:r>
      <w:r w:rsidR="00324A35">
        <w:rPr>
          <w:u w:val="single"/>
        </w:rPr>
        <w:fldChar w:fldCharType="separate"/>
      </w:r>
      <w:r w:rsidR="00324A35">
        <w:rPr>
          <w:u w:val="single"/>
        </w:rPr>
        <w:t>12.1</w:t>
      </w:r>
      <w:r w:rsidR="00324A35">
        <w:rPr>
          <w:u w:val="single"/>
        </w:rPr>
        <w:fldChar w:fldCharType="end"/>
      </w:r>
      <w:r>
        <w:t xml:space="preserve">, in addition to its rights under </w:t>
      </w:r>
      <w:r>
        <w:rPr>
          <w:u w:val="single"/>
        </w:rPr>
        <w:t xml:space="preserve">Section </w:t>
      </w:r>
      <w:r w:rsidR="00324A35">
        <w:rPr>
          <w:u w:val="single"/>
        </w:rPr>
        <w:fldChar w:fldCharType="begin"/>
      </w:r>
      <w:r w:rsidR="00324A35">
        <w:rPr>
          <w:u w:val="single"/>
        </w:rPr>
        <w:instrText xml:space="preserve"> REF _Ref149742772 \w \h </w:instrText>
      </w:r>
      <w:r w:rsidR="00324A35">
        <w:rPr>
          <w:u w:val="single"/>
        </w:rPr>
      </w:r>
      <w:r w:rsidR="00324A35">
        <w:rPr>
          <w:u w:val="single"/>
        </w:rPr>
        <w:fldChar w:fldCharType="separate"/>
      </w:r>
      <w:r w:rsidR="00324A35">
        <w:rPr>
          <w:u w:val="single"/>
        </w:rPr>
        <w:t>12.1(B)</w:t>
      </w:r>
      <w:r w:rsidR="00324A35">
        <w:rPr>
          <w:u w:val="single"/>
        </w:rPr>
        <w:fldChar w:fldCharType="end"/>
      </w:r>
      <w:r>
        <w:t xml:space="preserve"> above, Company may terminate this PPA effective immediately upon notice to Seller, without penalty or further obligation to Seller.  In connection with any such termination, Company may collect from Seller (subject to the Damage Cap) all Actual Damages arising from such Event of Default through the Scheduled Termination Date.</w:t>
      </w:r>
    </w:p>
    <w:p w14:paraId="65021A4E" w14:textId="1AA1D0F3" w:rsidR="00B63F33" w:rsidRDefault="00B63F33" w:rsidP="002B7809">
      <w:pPr>
        <w:pStyle w:val="ArticleL3"/>
      </w:pPr>
      <w:bookmarkStart w:id="359" w:name="_Ref149742783"/>
      <w:r>
        <w:rPr>
          <w:i/>
          <w:u w:val="single"/>
        </w:rPr>
        <w:t>Specific Performance</w:t>
      </w:r>
      <w:r>
        <w:t xml:space="preserve">.  In addition to the other remedies specified herein, upon any Event of Default of Seller under this </w:t>
      </w:r>
      <w:r>
        <w:rPr>
          <w:u w:val="single"/>
        </w:rPr>
        <w:t xml:space="preserve">Section </w:t>
      </w:r>
      <w:r w:rsidR="00324A35">
        <w:rPr>
          <w:u w:val="single"/>
        </w:rPr>
        <w:fldChar w:fldCharType="begin"/>
      </w:r>
      <w:r w:rsidR="00324A35">
        <w:rPr>
          <w:u w:val="single"/>
        </w:rPr>
        <w:instrText xml:space="preserve"> REF _Ref149743754 \w \h </w:instrText>
      </w:r>
      <w:r w:rsidR="00324A35">
        <w:rPr>
          <w:u w:val="single"/>
        </w:rPr>
      </w:r>
      <w:r w:rsidR="00324A35">
        <w:rPr>
          <w:u w:val="single"/>
        </w:rPr>
        <w:fldChar w:fldCharType="separate"/>
      </w:r>
      <w:r w:rsidR="00324A35">
        <w:rPr>
          <w:u w:val="single"/>
        </w:rPr>
        <w:t>12.1</w:t>
      </w:r>
      <w:r w:rsidR="00324A35">
        <w:rPr>
          <w:u w:val="single"/>
        </w:rPr>
        <w:fldChar w:fldCharType="end"/>
      </w:r>
      <w:r>
        <w:t>, Company may elect to treat this PPA as being in full force and effect and Company shall have the right to specific performance.</w:t>
      </w:r>
      <w:bookmarkEnd w:id="359"/>
      <w:r>
        <w:t xml:space="preserve"> </w:t>
      </w:r>
    </w:p>
    <w:p w14:paraId="1CB812CE" w14:textId="7A8BDB1F" w:rsidR="00B63F33" w:rsidRDefault="00D26437" w:rsidP="002B7809">
      <w:pPr>
        <w:pStyle w:val="ArticleL3"/>
      </w:pPr>
      <w:bookmarkStart w:id="360" w:name="_Ref149742791"/>
      <w:r>
        <w:rPr>
          <w:i/>
          <w:u w:val="single"/>
        </w:rPr>
        <w:t>Option to Acquire Facility upon Termination due to Seller Default</w:t>
      </w:r>
      <w:r>
        <w:t xml:space="preserve">. If Company terminates this PPA under this </w:t>
      </w:r>
      <w:r>
        <w:rPr>
          <w:u w:val="single"/>
        </w:rPr>
        <w:t xml:space="preserve">Section </w:t>
      </w:r>
      <w:r w:rsidR="00324A35">
        <w:rPr>
          <w:u w:val="single"/>
        </w:rPr>
        <w:fldChar w:fldCharType="begin"/>
      </w:r>
      <w:r w:rsidR="00324A35">
        <w:rPr>
          <w:u w:val="single"/>
        </w:rPr>
        <w:instrText xml:space="preserve"> REF _Ref149743762 \w \h </w:instrText>
      </w:r>
      <w:r w:rsidR="00324A35">
        <w:rPr>
          <w:u w:val="single"/>
        </w:rPr>
      </w:r>
      <w:r w:rsidR="00324A35">
        <w:rPr>
          <w:u w:val="single"/>
        </w:rPr>
        <w:fldChar w:fldCharType="separate"/>
      </w:r>
      <w:r w:rsidR="00324A35">
        <w:rPr>
          <w:u w:val="single"/>
        </w:rPr>
        <w:t>12.1</w:t>
      </w:r>
      <w:r w:rsidR="00324A35">
        <w:rPr>
          <w:u w:val="single"/>
        </w:rPr>
        <w:fldChar w:fldCharType="end"/>
      </w:r>
      <w:r>
        <w:t xml:space="preserve"> following COD, then, at any time within ninety (90) Days following such termination, Company may give notice to Seller of Company’s intent to purchase the Facility from Seller (a “</w:t>
      </w:r>
      <w:r>
        <w:rPr>
          <w:u w:val="single"/>
        </w:rPr>
        <w:t>Default Option Preliminary Exercise Notice</w:t>
      </w:r>
      <w:r>
        <w:t>”).</w:t>
      </w:r>
      <w:bookmarkEnd w:id="360"/>
      <w:r>
        <w:t xml:space="preserve"> </w:t>
      </w:r>
    </w:p>
    <w:p w14:paraId="5CB634F6" w14:textId="55FFB5E1" w:rsidR="00B63F33" w:rsidRDefault="00B63F33" w:rsidP="002B7809">
      <w:pPr>
        <w:pStyle w:val="ArticleL4"/>
      </w:pPr>
      <w:bookmarkStart w:id="361" w:name="_Ref149809840"/>
      <w:r>
        <w:t>As soon as practicable following delivery of a Default Option Preliminary Exercise Notice, the Parties shall appoint an independent appraiser experienced in appraising utility-scale [</w:t>
      </w:r>
      <w:r>
        <w:rPr>
          <w:highlight w:val="yellow"/>
        </w:rPr>
        <w:t>wind</w:t>
      </w:r>
      <w:r>
        <w:t>] [</w:t>
      </w:r>
      <w:r>
        <w:rPr>
          <w:highlight w:val="yellow"/>
        </w:rPr>
        <w:t>solar</w:t>
      </w:r>
      <w:r>
        <w:t>] power generation facilities to determine the fair market value (“</w:t>
      </w:r>
      <w:r>
        <w:rPr>
          <w:u w:val="single"/>
        </w:rPr>
        <w:t>Default FMV</w:t>
      </w:r>
      <w:r>
        <w:t>”) of the Facility.  If the Parties cannot agree on the identity of the appraiser, the appraiser shall be selected by the Arbitration Service.  Seller shall provide to the appraiser full access to the Facility and the Site, to Seller’s contracts, books and records, and to relevant personnel of Seller, during normal business hours</w:t>
      </w:r>
      <w:proofErr w:type="gramStart"/>
      <w:r>
        <w:t xml:space="preserve">.  </w:t>
      </w:r>
      <w:proofErr w:type="gramEnd"/>
      <w:r>
        <w:t xml:space="preserve">Such access shall include the right to </w:t>
      </w:r>
      <w:r>
        <w:lastRenderedPageBreak/>
        <w:t xml:space="preserve">conduct inspections and tests (including environmental testing of the Site and operating tests on the Facility) necessary or appropriate for the determination of the Default FMV of the Facility.  Company shall pay all fees and costs of the appraiser.  The Parties shall direct the appraiser to use his/her best efforts to complete and deliver his/her appraisal to the Parties within forty-five (45) Days following his/her appointment and to keep all information obtained by appraiser from any investigations as Confidential Information subject to the provisions of </w:t>
      </w:r>
      <w:r w:rsidRPr="005357FF">
        <w:rPr>
          <w:u w:val="single"/>
        </w:rPr>
        <w:t xml:space="preserve">Section </w:t>
      </w:r>
      <w:r w:rsidR="00324A35">
        <w:rPr>
          <w:u w:val="single"/>
        </w:rPr>
        <w:fldChar w:fldCharType="begin"/>
      </w:r>
      <w:r w:rsidR="00324A35">
        <w:rPr>
          <w:u w:val="single"/>
        </w:rPr>
        <w:instrText xml:space="preserve"> REF _Ref149743779 \w \h </w:instrText>
      </w:r>
      <w:r w:rsidR="00324A35">
        <w:rPr>
          <w:u w:val="single"/>
        </w:rPr>
      </w:r>
      <w:r w:rsidR="00324A35">
        <w:rPr>
          <w:u w:val="single"/>
        </w:rPr>
        <w:fldChar w:fldCharType="separate"/>
      </w:r>
      <w:r w:rsidR="00324A35">
        <w:rPr>
          <w:u w:val="single"/>
        </w:rPr>
        <w:t>20.18</w:t>
      </w:r>
      <w:r w:rsidR="00324A35">
        <w:rPr>
          <w:u w:val="single"/>
        </w:rPr>
        <w:fldChar w:fldCharType="end"/>
      </w:r>
      <w:r>
        <w:t>.</w:t>
      </w:r>
      <w:bookmarkEnd w:id="361"/>
      <w:r>
        <w:t xml:space="preserve"> </w:t>
      </w:r>
    </w:p>
    <w:p w14:paraId="551AB02F" w14:textId="4DF15BA5" w:rsidR="00B63F33" w:rsidRDefault="00B63F33" w:rsidP="002B7809">
      <w:pPr>
        <w:pStyle w:val="ArticleL4"/>
      </w:pPr>
      <w:r>
        <w:t>Following delivery of a Default Option Preliminary Exercise Notice, Seller shall provide to Company full access to the Facility and the Site, to Seller’s contracts, books and records, and to relevant personnel of Seller, during normal business hours</w:t>
      </w:r>
      <w:proofErr w:type="gramStart"/>
      <w:r>
        <w:t xml:space="preserve">.  </w:t>
      </w:r>
      <w:proofErr w:type="gramEnd"/>
      <w:r>
        <w:t xml:space="preserve">Such access shall include the right to conduct lien searches, surveys, inspections and tests (including environmental testing of the Site and operating tests on the Facility) necessary or </w:t>
      </w:r>
      <w:proofErr w:type="gramStart"/>
      <w:r>
        <w:t>appropriate for</w:t>
      </w:r>
      <w:proofErr w:type="gramEnd"/>
      <w:r>
        <w:t xml:space="preserve"> due diligence review of the Facility</w:t>
      </w:r>
      <w:r>
        <w:rPr>
          <w:szCs w:val="24"/>
        </w:rPr>
        <w:t xml:space="preserve">.  All information obtained by Company from such investigations shall be </w:t>
      </w:r>
      <w:proofErr w:type="gramStart"/>
      <w:r>
        <w:rPr>
          <w:szCs w:val="24"/>
        </w:rPr>
        <w:t>deemed</w:t>
      </w:r>
      <w:proofErr w:type="gramEnd"/>
      <w:r>
        <w:rPr>
          <w:szCs w:val="24"/>
        </w:rPr>
        <w:t xml:space="preserve"> Confidential Information subject to </w:t>
      </w:r>
      <w:r>
        <w:rPr>
          <w:szCs w:val="24"/>
          <w:u w:val="single"/>
        </w:rPr>
        <w:t xml:space="preserve">Section </w:t>
      </w:r>
      <w:r w:rsidR="00324A35">
        <w:rPr>
          <w:szCs w:val="24"/>
          <w:u w:val="single"/>
        </w:rPr>
        <w:fldChar w:fldCharType="begin"/>
      </w:r>
      <w:r w:rsidR="00324A35">
        <w:rPr>
          <w:szCs w:val="24"/>
          <w:u w:val="single"/>
        </w:rPr>
        <w:instrText xml:space="preserve"> REF _Ref149743784 \w \h </w:instrText>
      </w:r>
      <w:r w:rsidR="00324A35">
        <w:rPr>
          <w:szCs w:val="24"/>
          <w:u w:val="single"/>
        </w:rPr>
      </w:r>
      <w:r w:rsidR="00324A35">
        <w:rPr>
          <w:szCs w:val="24"/>
          <w:u w:val="single"/>
        </w:rPr>
        <w:fldChar w:fldCharType="separate"/>
      </w:r>
      <w:r w:rsidR="00324A35">
        <w:rPr>
          <w:szCs w:val="24"/>
          <w:u w:val="single"/>
        </w:rPr>
        <w:t>20.18</w:t>
      </w:r>
      <w:r w:rsidR="00324A35">
        <w:rPr>
          <w:szCs w:val="24"/>
          <w:u w:val="single"/>
        </w:rPr>
        <w:fldChar w:fldCharType="end"/>
      </w:r>
      <w:r>
        <w:rPr>
          <w:szCs w:val="24"/>
        </w:rPr>
        <w:t xml:space="preserve">.  </w:t>
      </w:r>
      <w:r>
        <w:t>All inspections, testing and access to the Facility and the Site by Company and the appraiser shall comport with all of Seller’s policies governing the use, operation, and maintenance of the Facility, including health, safety and environmental requirements.</w:t>
      </w:r>
    </w:p>
    <w:p w14:paraId="7BE5EDB6" w14:textId="51F9B3D9" w:rsidR="00B63F33" w:rsidRDefault="00B63F33" w:rsidP="002B7809">
      <w:pPr>
        <w:pStyle w:val="ArticleL4"/>
      </w:pPr>
      <w:bookmarkStart w:id="362" w:name="_Ref149809847"/>
      <w:r>
        <w:t xml:space="preserve">Within sixty (60) Days following receipt of an appraisal under this </w:t>
      </w:r>
      <w:r>
        <w:rPr>
          <w:u w:val="single"/>
        </w:rPr>
        <w:t xml:space="preserve">Section </w:t>
      </w:r>
      <w:r w:rsidR="00324A35">
        <w:rPr>
          <w:u w:val="single"/>
        </w:rPr>
        <w:fldChar w:fldCharType="begin"/>
      </w:r>
      <w:r w:rsidR="00324A35">
        <w:rPr>
          <w:u w:val="single"/>
        </w:rPr>
        <w:instrText xml:space="preserve"> REF _Ref149742791 \w \h </w:instrText>
      </w:r>
      <w:r w:rsidR="00324A35">
        <w:rPr>
          <w:u w:val="single"/>
        </w:rPr>
      </w:r>
      <w:r w:rsidR="00324A35">
        <w:rPr>
          <w:u w:val="single"/>
        </w:rPr>
        <w:fldChar w:fldCharType="separate"/>
      </w:r>
      <w:r w:rsidR="00324A35">
        <w:rPr>
          <w:u w:val="single"/>
        </w:rPr>
        <w:t>12.1(E)</w:t>
      </w:r>
      <w:r w:rsidR="00324A35">
        <w:rPr>
          <w:u w:val="single"/>
        </w:rPr>
        <w:fldChar w:fldCharType="end"/>
      </w:r>
      <w:r>
        <w:t xml:space="preserve">, Company may </w:t>
      </w:r>
      <w:proofErr w:type="gramStart"/>
      <w:r>
        <w:t>elect</w:t>
      </w:r>
      <w:proofErr w:type="gramEnd"/>
      <w:r>
        <w:t xml:space="preserve"> to purchase the Facility from Seller (a “</w:t>
      </w:r>
      <w:r>
        <w:rPr>
          <w:u w:val="single"/>
        </w:rPr>
        <w:t>Default Option</w:t>
      </w:r>
      <w:r>
        <w:t>”).  If Company fails to notify Seller of Company’s election within such 60-Day period, Company shall be deemed to have elected not to exercise the Default Option.   If Company exercises the Default Option, the purchase price to be paid by Company for the Facility in connection with any exercise of the Default Option shall be the Default FMV of the Facility, as determined by the appraiser.  Seller shall cooperate in all respects reasonably necessary for Company to exercise its Default Option rights.</w:t>
      </w:r>
      <w:bookmarkEnd w:id="362"/>
    </w:p>
    <w:p w14:paraId="3EDD5BE0" w14:textId="061A5C10" w:rsidR="00B63F33" w:rsidRDefault="00B63F33" w:rsidP="002B7809">
      <w:pPr>
        <w:pStyle w:val="ArticleL4"/>
      </w:pPr>
      <w:r>
        <w:t xml:space="preserve">If Company exercises the Default Option, the Parties shall negotiate and execute a PSA, subject to clause (iv) below.  The PSA shall include the terms and conditions set forth in </w:t>
      </w:r>
      <w:bookmarkStart w:id="363" w:name="_Hlk46989128"/>
      <w:r w:rsidR="000E4265" w:rsidRPr="000E4265">
        <w:rPr>
          <w:u w:val="single"/>
        </w:rPr>
        <w:t xml:space="preserve">Exhibit </w:t>
      </w:r>
      <w:r w:rsidR="000E4265">
        <w:rPr>
          <w:u w:val="single"/>
        </w:rPr>
        <w:t>L-2</w:t>
      </w:r>
      <w:r w:rsidR="000E4265" w:rsidRPr="000E4265">
        <w:rPr>
          <w:u w:val="single"/>
        </w:rPr>
        <w:t xml:space="preserve"> - P</w:t>
      </w:r>
      <w:r w:rsidR="000E4265">
        <w:rPr>
          <w:u w:val="single"/>
        </w:rPr>
        <w:t>SA</w:t>
      </w:r>
      <w:r w:rsidR="000E4265" w:rsidRPr="000E4265">
        <w:rPr>
          <w:u w:val="single"/>
        </w:rPr>
        <w:t xml:space="preserve"> Provisions</w:t>
      </w:r>
      <w:bookmarkEnd w:id="363"/>
      <w:r>
        <w:t>.  In the event that the Parties cannot agree on the final form of PSA, (i) the issue shall be submitted to “baseball” arbitration in [</w:t>
      </w:r>
      <w:r>
        <w:rPr>
          <w:i/>
          <w:color w:val="FF0000"/>
          <w:highlight w:val="yellow"/>
        </w:rPr>
        <w:t>OpCo home city</w:t>
      </w:r>
      <w:r>
        <w:t xml:space="preserve"> before one arbitrator appointed by the Arbitration Service, i.e. each Party shall submit to the arbitrator a form of proposed PSA, and the arbitrator shall be required to select one of the two forms to be used as the PSA in the transaction, without compromise, as the arbitral award, (ii) the period for closing of the transaction shall be extended for the period required to complete arbitration, (iii) the Party whose form PSA is rejected shall pay the fees and costs of the Arbitration Service, and (iv) if Company’s form of PSA is rejected, </w:t>
      </w:r>
      <w:r>
        <w:lastRenderedPageBreak/>
        <w:t xml:space="preserve">Company shall have thirty (30) Days following such rejection to decide whether to execute and deliver Seller’s form of PSA or abandon the transaction. </w:t>
      </w:r>
    </w:p>
    <w:p w14:paraId="4D1A647C" w14:textId="5F2F2B76" w:rsidR="00B63F33" w:rsidRDefault="00B63F33" w:rsidP="002B7809">
      <w:pPr>
        <w:pStyle w:val="ArticleL4"/>
      </w:pPr>
      <w:r>
        <w:t xml:space="preserve">This </w:t>
      </w:r>
      <w:r>
        <w:rPr>
          <w:u w:val="single"/>
        </w:rPr>
        <w:t xml:space="preserve">Section </w:t>
      </w:r>
      <w:r w:rsidR="00324A35">
        <w:rPr>
          <w:u w:val="single"/>
        </w:rPr>
        <w:fldChar w:fldCharType="begin"/>
      </w:r>
      <w:r w:rsidR="00324A35">
        <w:rPr>
          <w:u w:val="single"/>
        </w:rPr>
        <w:instrText xml:space="preserve"> REF _Ref149742791 \w \h </w:instrText>
      </w:r>
      <w:r w:rsidR="00324A35">
        <w:rPr>
          <w:u w:val="single"/>
        </w:rPr>
      </w:r>
      <w:r w:rsidR="00324A35">
        <w:rPr>
          <w:u w:val="single"/>
        </w:rPr>
        <w:fldChar w:fldCharType="separate"/>
      </w:r>
      <w:r w:rsidR="00324A35">
        <w:rPr>
          <w:u w:val="single"/>
        </w:rPr>
        <w:t>12.1(E)</w:t>
      </w:r>
      <w:r w:rsidR="00324A35">
        <w:rPr>
          <w:u w:val="single"/>
        </w:rPr>
        <w:fldChar w:fldCharType="end"/>
      </w:r>
      <w:r>
        <w:t xml:space="preserve"> shall be specifically enforceable by Company, without bond and without the need to prove irreparable harm.</w:t>
      </w:r>
    </w:p>
    <w:p w14:paraId="088DC729" w14:textId="412B6188" w:rsidR="00B63F33" w:rsidRDefault="00B63F33" w:rsidP="002B7809">
      <w:pPr>
        <w:pStyle w:val="ArticleL2"/>
      </w:pPr>
      <w:bookmarkStart w:id="364" w:name="_Toc147494884"/>
      <w:bookmarkStart w:id="365" w:name="_Toc433954009"/>
      <w:bookmarkStart w:id="366" w:name="_Toc433954167"/>
      <w:bookmarkStart w:id="367" w:name="_Ref149743641"/>
      <w:bookmarkStart w:id="368" w:name="_Ref149808463"/>
      <w:bookmarkStart w:id="369" w:name="_Ref149810702"/>
      <w:bookmarkStart w:id="370" w:name="_Toc288027283"/>
      <w:bookmarkEnd w:id="358"/>
      <w:r w:rsidRPr="00172ED0">
        <w:rPr>
          <w:rStyle w:val="ArticleL2UnderlineChar"/>
        </w:rPr>
        <w:t>Default by Seller: Failure to Achieve Critical Path Development Milestone or COD</w:t>
      </w:r>
      <w:bookmarkEnd w:id="364"/>
      <w:r>
        <w:t>.</w:t>
      </w:r>
      <w:bookmarkEnd w:id="365"/>
      <w:bookmarkEnd w:id="366"/>
      <w:bookmarkEnd w:id="367"/>
      <w:bookmarkEnd w:id="368"/>
      <w:bookmarkEnd w:id="369"/>
      <w:r>
        <w:t xml:space="preserve">  </w:t>
      </w:r>
    </w:p>
    <w:p w14:paraId="421E28C4" w14:textId="2FA33B1D" w:rsidR="00B63F33" w:rsidRDefault="00B63F33" w:rsidP="002B7809">
      <w:pPr>
        <w:pStyle w:val="ArticleL3"/>
      </w:pPr>
      <w:bookmarkStart w:id="371" w:name="_Ref149742884"/>
      <w:r>
        <w:rPr>
          <w:i/>
          <w:u w:val="single"/>
        </w:rPr>
        <w:t>COD Delay</w:t>
      </w:r>
      <w:r>
        <w:t xml:space="preserve">.  Seller shall be in default under this PPA if the Facility fails to achieve any Critical Path Development Milestone by the date set forth in </w:t>
      </w:r>
      <w:r>
        <w:rPr>
          <w:u w:val="single"/>
        </w:rPr>
        <w:t xml:space="preserve">Section </w:t>
      </w:r>
      <w:r w:rsidR="00324A35">
        <w:rPr>
          <w:u w:val="single"/>
        </w:rPr>
        <w:fldChar w:fldCharType="begin"/>
      </w:r>
      <w:r w:rsidR="00324A35">
        <w:rPr>
          <w:u w:val="single"/>
        </w:rPr>
        <w:instrText xml:space="preserve"> REF _Ref149742902 \w \h </w:instrText>
      </w:r>
      <w:r w:rsidR="00324A35">
        <w:rPr>
          <w:u w:val="single"/>
        </w:rPr>
      </w:r>
      <w:r w:rsidR="00324A35">
        <w:rPr>
          <w:u w:val="single"/>
        </w:rPr>
        <w:fldChar w:fldCharType="separate"/>
      </w:r>
      <w:r w:rsidR="00324A35">
        <w:rPr>
          <w:u w:val="single"/>
        </w:rPr>
        <w:t>4.1(B)</w:t>
      </w:r>
      <w:r w:rsidR="00324A35">
        <w:rPr>
          <w:u w:val="single"/>
        </w:rPr>
        <w:fldChar w:fldCharType="end"/>
      </w:r>
      <w:r>
        <w:t xml:space="preserve"> (“</w:t>
      </w:r>
      <w:r>
        <w:rPr>
          <w:u w:val="single"/>
        </w:rPr>
        <w:t>CPD Delay</w:t>
      </w:r>
      <w:r>
        <w:t>”) or COD by the Target COD (“</w:t>
      </w:r>
      <w:r>
        <w:rPr>
          <w:u w:val="single"/>
        </w:rPr>
        <w:t>COD Delay</w:t>
      </w:r>
      <w:r>
        <w:t>”).</w:t>
      </w:r>
      <w:bookmarkEnd w:id="371"/>
      <w:r>
        <w:t xml:space="preserve">  </w:t>
      </w:r>
    </w:p>
    <w:p w14:paraId="1A0EBBE0" w14:textId="241F9AEF" w:rsidR="00B63F33" w:rsidRDefault="00B63F33" w:rsidP="002B7809">
      <w:pPr>
        <w:pStyle w:val="ArticleL4"/>
      </w:pPr>
      <w:r>
        <w:t xml:space="preserve">Seller shall be liable to pay </w:t>
      </w:r>
      <w:r>
        <w:rPr>
          <w:i/>
        </w:rPr>
        <w:t>[</w:t>
      </w:r>
      <w:r>
        <w:rPr>
          <w:i/>
          <w:color w:val="FF0000"/>
          <w:highlight w:val="yellow"/>
        </w:rPr>
        <w:t>insert $[250]/MW of Facility Nameplate Capacity</w:t>
      </w:r>
      <w:r>
        <w:rPr>
          <w:i/>
        </w:rPr>
        <w:t>]</w:t>
      </w:r>
      <w:r>
        <w:t xml:space="preserve"> (“</w:t>
      </w:r>
      <w:r>
        <w:rPr>
          <w:u w:val="single"/>
        </w:rPr>
        <w:t>CPD Liquidated Delay Damages</w:t>
      </w:r>
      <w:r>
        <w:t xml:space="preserve">”) to Company as a liquidated damage and not a penalty, in lieu of Actual Damages, for each Day of each CPD Delay.  CPD Liquidated Delay Damages shall begin to accrue on the Day after the applicable missed Critical Path Development Milestone (in each case, as it may be extended due to Force Majeure) until the first to occur of the satisfaction of the applicable Critical Path Development Milestone or termination of this PPA pursuant to </w:t>
      </w:r>
      <w:r>
        <w:rPr>
          <w:u w:val="single"/>
        </w:rPr>
        <w:t xml:space="preserve">Section </w:t>
      </w:r>
      <w:r w:rsidR="00324A35">
        <w:rPr>
          <w:u w:val="single"/>
        </w:rPr>
        <w:fldChar w:fldCharType="begin"/>
      </w:r>
      <w:r w:rsidR="00324A35">
        <w:rPr>
          <w:u w:val="single"/>
        </w:rPr>
        <w:instrText xml:space="preserve"> REF _Ref149742803 \w \h </w:instrText>
      </w:r>
      <w:r w:rsidR="00324A35">
        <w:rPr>
          <w:u w:val="single"/>
        </w:rPr>
      </w:r>
      <w:r w:rsidR="00324A35">
        <w:rPr>
          <w:u w:val="single"/>
        </w:rPr>
        <w:fldChar w:fldCharType="separate"/>
      </w:r>
      <w:r w:rsidR="00324A35">
        <w:rPr>
          <w:u w:val="single"/>
        </w:rPr>
        <w:t>12.2(C)</w:t>
      </w:r>
      <w:r w:rsidR="00324A35">
        <w:rPr>
          <w:u w:val="single"/>
        </w:rPr>
        <w:fldChar w:fldCharType="end"/>
      </w:r>
      <w:r>
        <w:t xml:space="preserve"> below.  CPD Liquidated Delay Damages shall apply if any Critical Path Development Milestone is missed, and the payment of CPD Liquidated Delay Damages with respect to any given </w:t>
      </w:r>
      <w:bookmarkStart w:id="372" w:name="_Hlk97125915"/>
      <w:r>
        <w:t xml:space="preserve">Critical Path Development Milestone </w:t>
      </w:r>
      <w:bookmarkEnd w:id="372"/>
      <w:r>
        <w:t xml:space="preserve">shall extend each subsequent Critical Path Development Milestone on a day-for-day basis.  In the event Seller incurs CPD Liquidated Delay Damages but subsequently achieves COD by the Target COD, Company shall reimburse Seller all such CPD Liquidated Delay Damages. </w:t>
      </w:r>
    </w:p>
    <w:p w14:paraId="424A3D97" w14:textId="6B877CAB" w:rsidR="00B63F33" w:rsidRDefault="00B63F33" w:rsidP="002B7809">
      <w:pPr>
        <w:pStyle w:val="ArticleL4"/>
      </w:pPr>
      <w:r>
        <w:t xml:space="preserve">Seller shall be liable to pay </w:t>
      </w:r>
      <w:r>
        <w:rPr>
          <w:i/>
        </w:rPr>
        <w:t>[</w:t>
      </w:r>
      <w:r>
        <w:rPr>
          <w:i/>
          <w:color w:val="FF0000"/>
          <w:highlight w:val="yellow"/>
        </w:rPr>
        <w:t>insert $[250]/MW of Facility Nameplate Capacity</w:t>
      </w:r>
      <w:r>
        <w:rPr>
          <w:i/>
        </w:rPr>
        <w:t>]</w:t>
      </w:r>
      <w:r>
        <w:t xml:space="preserve"> (“</w:t>
      </w:r>
      <w:r>
        <w:rPr>
          <w:u w:val="single"/>
        </w:rPr>
        <w:t>COD Liquidated Delay Damages</w:t>
      </w:r>
      <w:r>
        <w:t>” and, together with CPD Liquidated Delay Damages, the “</w:t>
      </w:r>
      <w:r>
        <w:rPr>
          <w:u w:val="single"/>
        </w:rPr>
        <w:t>Liquidated Delay Damages</w:t>
      </w:r>
      <w:r>
        <w:t xml:space="preserve">”) to Company as a liquidated damage and not a penalty, in lieu of Actual Damages, for each Day of a COD Delay.  COD Liquidated Delay Damages shall begin to accrue on the Day after the Target COD (in each case, as it may be extended due to Force Majeure), until the first to occur of the COD or termination of this PPA pursuant to </w:t>
      </w:r>
      <w:r>
        <w:rPr>
          <w:u w:val="single"/>
        </w:rPr>
        <w:t xml:space="preserve">Section </w:t>
      </w:r>
      <w:r w:rsidR="00324A35">
        <w:rPr>
          <w:u w:val="single"/>
        </w:rPr>
        <w:fldChar w:fldCharType="begin"/>
      </w:r>
      <w:r w:rsidR="00324A35">
        <w:rPr>
          <w:u w:val="single"/>
        </w:rPr>
        <w:instrText xml:space="preserve"> REF _Ref149742803 \w \h </w:instrText>
      </w:r>
      <w:r w:rsidR="00324A35">
        <w:rPr>
          <w:u w:val="single"/>
        </w:rPr>
      </w:r>
      <w:r w:rsidR="00324A35">
        <w:rPr>
          <w:u w:val="single"/>
        </w:rPr>
        <w:fldChar w:fldCharType="separate"/>
      </w:r>
      <w:r w:rsidR="00324A35">
        <w:rPr>
          <w:u w:val="single"/>
        </w:rPr>
        <w:t>12.2(C)</w:t>
      </w:r>
      <w:r w:rsidR="00324A35">
        <w:rPr>
          <w:u w:val="single"/>
        </w:rPr>
        <w:fldChar w:fldCharType="end"/>
      </w:r>
      <w:r>
        <w:t xml:space="preserve"> below.  The payment of CPD Liquidated Delay Damages shall not cure Seller’s failure to achieve COD by the Target COD.  For the avoidance of doubt, if Seller is delayed in reaching one or more Critical Path Development Milestones and the Target COD, then Seller may incur both CPD Liquidated Delay Damages and COD Liquidated Delay Damages.</w:t>
      </w:r>
    </w:p>
    <w:p w14:paraId="3529B30E" w14:textId="47C68EA7" w:rsidR="00B63F33" w:rsidRDefault="00B63F33" w:rsidP="002B7809">
      <w:pPr>
        <w:pStyle w:val="ArticleL4"/>
      </w:pPr>
      <w:r>
        <w:t xml:space="preserve">Except as provided in </w:t>
      </w:r>
      <w:r>
        <w:rPr>
          <w:u w:val="single"/>
        </w:rPr>
        <w:t xml:space="preserve">Section </w:t>
      </w:r>
      <w:r w:rsidR="00324A35">
        <w:rPr>
          <w:u w:val="single"/>
        </w:rPr>
        <w:fldChar w:fldCharType="begin"/>
      </w:r>
      <w:r w:rsidR="00324A35">
        <w:rPr>
          <w:u w:val="single"/>
        </w:rPr>
        <w:instrText xml:space="preserve"> REF _Ref149742803 \w \h </w:instrText>
      </w:r>
      <w:r w:rsidR="00324A35">
        <w:rPr>
          <w:u w:val="single"/>
        </w:rPr>
      </w:r>
      <w:r w:rsidR="00324A35">
        <w:rPr>
          <w:u w:val="single"/>
        </w:rPr>
        <w:fldChar w:fldCharType="separate"/>
      </w:r>
      <w:r w:rsidR="00324A35">
        <w:rPr>
          <w:u w:val="single"/>
        </w:rPr>
        <w:t>12.2(C)</w:t>
      </w:r>
      <w:r w:rsidR="00324A35">
        <w:rPr>
          <w:u w:val="single"/>
        </w:rPr>
        <w:fldChar w:fldCharType="end"/>
      </w:r>
      <w:r>
        <w:t xml:space="preserve"> below, the payment of Liquidated Delay Damages shall be Company’s sole and exclusive remedy for a CPD Delay or a COD Delay</w:t>
      </w:r>
      <w:proofErr w:type="gramStart"/>
      <w:r>
        <w:t xml:space="preserve">.  </w:t>
      </w:r>
      <w:proofErr w:type="gramEnd"/>
    </w:p>
    <w:p w14:paraId="1BC6FAD4" w14:textId="3452CAD1" w:rsidR="00B63F33" w:rsidRDefault="00B63F33" w:rsidP="002B7809">
      <w:pPr>
        <w:pStyle w:val="ArticleL3"/>
        <w:rPr>
          <w:iCs/>
        </w:rPr>
      </w:pPr>
      <w:bookmarkStart w:id="373" w:name="_Ref149742928"/>
      <w:r>
        <w:rPr>
          <w:i/>
          <w:u w:val="single"/>
        </w:rPr>
        <w:t>Cure</w:t>
      </w:r>
      <w:r>
        <w:t xml:space="preserve">.  </w:t>
      </w:r>
      <w:bookmarkStart w:id="374" w:name="_Hlk46914020"/>
      <w:r>
        <w:t xml:space="preserve">Subject to the obligations in this </w:t>
      </w:r>
      <w:r>
        <w:rPr>
          <w:u w:val="single"/>
        </w:rPr>
        <w:t xml:space="preserve">Section </w:t>
      </w:r>
      <w:r w:rsidR="00324A35">
        <w:rPr>
          <w:u w:val="single"/>
        </w:rPr>
        <w:fldChar w:fldCharType="begin"/>
      </w:r>
      <w:r w:rsidR="00324A35">
        <w:rPr>
          <w:u w:val="single"/>
        </w:rPr>
        <w:instrText xml:space="preserve"> REF _Ref149742928 \w \h </w:instrText>
      </w:r>
      <w:r w:rsidR="00324A35">
        <w:rPr>
          <w:u w:val="single"/>
        </w:rPr>
      </w:r>
      <w:r w:rsidR="00324A35">
        <w:rPr>
          <w:u w:val="single"/>
        </w:rPr>
        <w:fldChar w:fldCharType="separate"/>
      </w:r>
      <w:r w:rsidR="00324A35">
        <w:rPr>
          <w:u w:val="single"/>
        </w:rPr>
        <w:t>12.2(B)</w:t>
      </w:r>
      <w:r w:rsidR="00324A35">
        <w:rPr>
          <w:u w:val="single"/>
        </w:rPr>
        <w:fldChar w:fldCharType="end"/>
      </w:r>
      <w:r>
        <w:t xml:space="preserve">, Seller shall have a cure period of up to ninety (90) Days for its failure to achieve any Critical Path Development Milestone by the date set forth in </w:t>
      </w:r>
      <w:r>
        <w:rPr>
          <w:u w:val="single"/>
        </w:rPr>
        <w:t xml:space="preserve">Section </w:t>
      </w:r>
      <w:r w:rsidR="00324A35">
        <w:rPr>
          <w:u w:val="single"/>
        </w:rPr>
        <w:fldChar w:fldCharType="begin"/>
      </w:r>
      <w:r w:rsidR="00324A35">
        <w:rPr>
          <w:u w:val="single"/>
        </w:rPr>
        <w:instrText xml:space="preserve"> REF _Ref149742902 \w \h </w:instrText>
      </w:r>
      <w:r w:rsidR="00324A35">
        <w:rPr>
          <w:u w:val="single"/>
        </w:rPr>
      </w:r>
      <w:r w:rsidR="00324A35">
        <w:rPr>
          <w:u w:val="single"/>
        </w:rPr>
        <w:fldChar w:fldCharType="separate"/>
      </w:r>
      <w:r w:rsidR="00324A35">
        <w:rPr>
          <w:u w:val="single"/>
        </w:rPr>
        <w:t>4.1(B)</w:t>
      </w:r>
      <w:r w:rsidR="00324A35">
        <w:rPr>
          <w:u w:val="single"/>
        </w:rPr>
        <w:fldChar w:fldCharType="end"/>
      </w:r>
      <w:r>
        <w:t xml:space="preserve"> (subject to compliance with </w:t>
      </w:r>
      <w:r>
        <w:lastRenderedPageBreak/>
        <w:t xml:space="preserve">Seller’s obligations in </w:t>
      </w:r>
      <w:r>
        <w:rPr>
          <w:u w:val="single"/>
        </w:rPr>
        <w:t xml:space="preserve">Section </w:t>
      </w:r>
      <w:r w:rsidR="00324A35">
        <w:rPr>
          <w:u w:val="single"/>
        </w:rPr>
        <w:fldChar w:fldCharType="begin"/>
      </w:r>
      <w:r w:rsidR="00324A35">
        <w:rPr>
          <w:u w:val="single"/>
        </w:rPr>
        <w:instrText xml:space="preserve"> REF _Ref149742902 \w \h </w:instrText>
      </w:r>
      <w:r w:rsidR="00324A35">
        <w:rPr>
          <w:u w:val="single"/>
        </w:rPr>
      </w:r>
      <w:r w:rsidR="00324A35">
        <w:rPr>
          <w:u w:val="single"/>
        </w:rPr>
        <w:fldChar w:fldCharType="separate"/>
      </w:r>
      <w:r w:rsidR="00324A35">
        <w:rPr>
          <w:u w:val="single"/>
        </w:rPr>
        <w:t>4.1(B)</w:t>
      </w:r>
      <w:r w:rsidR="00324A35">
        <w:rPr>
          <w:u w:val="single"/>
        </w:rPr>
        <w:fldChar w:fldCharType="end"/>
      </w:r>
      <w:r>
        <w:t xml:space="preserve">) or COD by the Target COD, as applicable </w:t>
      </w:r>
      <w:r>
        <w:rPr>
          <w:iCs/>
        </w:rPr>
        <w:t>so long as the following conditions are satisfied:</w:t>
      </w:r>
      <w:bookmarkEnd w:id="373"/>
      <w:r>
        <w:rPr>
          <w:iCs/>
        </w:rPr>
        <w:t xml:space="preserve"> </w:t>
      </w:r>
      <w:bookmarkEnd w:id="374"/>
    </w:p>
    <w:p w14:paraId="3B914938" w14:textId="17EFBBFC" w:rsidR="00B63F33" w:rsidRDefault="00B63F33" w:rsidP="002B7809">
      <w:pPr>
        <w:pStyle w:val="ArticleL4"/>
      </w:pPr>
      <w:r>
        <w:t xml:space="preserve">Seller’s payment of accrued Liquidated Delay Damages shall be a condition to any such cure.  In order to utilize the cure period set forth in this </w:t>
      </w:r>
      <w:r>
        <w:rPr>
          <w:u w:val="single"/>
        </w:rPr>
        <w:t xml:space="preserve">Section </w:t>
      </w:r>
      <w:r w:rsidR="00324A35">
        <w:rPr>
          <w:u w:val="single"/>
        </w:rPr>
        <w:fldChar w:fldCharType="begin"/>
      </w:r>
      <w:r w:rsidR="00324A35">
        <w:rPr>
          <w:u w:val="single"/>
        </w:rPr>
        <w:instrText xml:space="preserve"> REF _Ref149742928 \w \h </w:instrText>
      </w:r>
      <w:r w:rsidR="00324A35">
        <w:rPr>
          <w:u w:val="single"/>
        </w:rPr>
      </w:r>
      <w:r w:rsidR="00324A35">
        <w:rPr>
          <w:u w:val="single"/>
        </w:rPr>
        <w:fldChar w:fldCharType="separate"/>
      </w:r>
      <w:r w:rsidR="00324A35">
        <w:rPr>
          <w:u w:val="single"/>
        </w:rPr>
        <w:t>12.2(B)</w:t>
      </w:r>
      <w:r w:rsidR="00324A35">
        <w:rPr>
          <w:u w:val="single"/>
        </w:rPr>
        <w:fldChar w:fldCharType="end"/>
      </w:r>
      <w:r>
        <w:t xml:space="preserve">, Seller must, at any time prior to, but no later than, 6:00 a.m. on the third Business Day immediately prior to the Critical Path Development Milestone date set forth in </w:t>
      </w:r>
      <w:r>
        <w:rPr>
          <w:u w:val="single"/>
        </w:rPr>
        <w:t xml:space="preserve">Section </w:t>
      </w:r>
      <w:r w:rsidR="00324A35">
        <w:rPr>
          <w:u w:val="single"/>
        </w:rPr>
        <w:fldChar w:fldCharType="begin"/>
      </w:r>
      <w:r w:rsidR="00324A35">
        <w:rPr>
          <w:u w:val="single"/>
        </w:rPr>
        <w:instrText xml:space="preserve"> REF _Ref149742902 \w \h </w:instrText>
      </w:r>
      <w:r w:rsidR="00324A35">
        <w:rPr>
          <w:u w:val="single"/>
        </w:rPr>
      </w:r>
      <w:r w:rsidR="00324A35">
        <w:rPr>
          <w:u w:val="single"/>
        </w:rPr>
        <w:fldChar w:fldCharType="separate"/>
      </w:r>
      <w:r w:rsidR="00324A35">
        <w:rPr>
          <w:u w:val="single"/>
        </w:rPr>
        <w:t>4.1(B)</w:t>
      </w:r>
      <w:r w:rsidR="00324A35">
        <w:rPr>
          <w:u w:val="single"/>
        </w:rPr>
        <w:fldChar w:fldCharType="end"/>
      </w:r>
      <w:r>
        <w:t xml:space="preserve"> or the Target COD, as applicable (as such dates may have been previously extended pursuant to this </w:t>
      </w:r>
      <w:r>
        <w:rPr>
          <w:u w:val="single"/>
        </w:rPr>
        <w:t xml:space="preserve">Section </w:t>
      </w:r>
      <w:r w:rsidR="00324A35">
        <w:rPr>
          <w:u w:val="single"/>
        </w:rPr>
        <w:fldChar w:fldCharType="begin"/>
      </w:r>
      <w:r w:rsidR="00324A35">
        <w:rPr>
          <w:u w:val="single"/>
        </w:rPr>
        <w:instrText xml:space="preserve"> REF _Ref149742928 \w \h </w:instrText>
      </w:r>
      <w:r w:rsidR="00324A35">
        <w:rPr>
          <w:u w:val="single"/>
        </w:rPr>
      </w:r>
      <w:r w:rsidR="00324A35">
        <w:rPr>
          <w:u w:val="single"/>
        </w:rPr>
        <w:fldChar w:fldCharType="separate"/>
      </w:r>
      <w:r w:rsidR="00324A35">
        <w:rPr>
          <w:u w:val="single"/>
        </w:rPr>
        <w:t>12.2(B)</w:t>
      </w:r>
      <w:r w:rsidR="00324A35">
        <w:rPr>
          <w:u w:val="single"/>
        </w:rPr>
        <w:fldChar w:fldCharType="end"/>
      </w:r>
      <w:r>
        <w:t xml:space="preserve">), provide Company with (a) Notice of its election to extend such Critical Path Development Milestone date or the Target COD, (b) Seller’s reasonable estimate of the required duration of the full estimated extension period, and (c) its payment of the applicable Liquidated Delay Damages for each Day of the full estimated extension period; provided, that if the actual delay is less than the full estimated extension period, then Company shall refund to Seller any unused portion of the  applicable Liquidated Delay Damages.  For the avoidance of doubt, (i) the Security Fund may not be utilized by Seller for the payment of Liquidated Delay Damages and (ii) the payment of CPD Liquidated Delay Damages shall only extend the Critical Path Development Milestones and not the Target COD, and payment of the COD Liquidated Delay Damages shall only extend the Target COD and not the Critical Path Development Milestones.   </w:t>
      </w:r>
    </w:p>
    <w:p w14:paraId="4FB2B7A5" w14:textId="284C078A" w:rsidR="00B63F33" w:rsidRDefault="0096035A" w:rsidP="002B7809">
      <w:pPr>
        <w:pStyle w:val="ArticleL3"/>
      </w:pPr>
      <w:bookmarkStart w:id="375" w:name="_Ref149742803"/>
      <w:r>
        <w:t xml:space="preserve">For any extensions pursuant to </w:t>
      </w:r>
      <w:r>
        <w:rPr>
          <w:u w:val="single"/>
        </w:rPr>
        <w:t xml:space="preserve">Section </w:t>
      </w:r>
      <w:r w:rsidR="00324A35">
        <w:rPr>
          <w:u w:val="single"/>
        </w:rPr>
        <w:fldChar w:fldCharType="begin"/>
      </w:r>
      <w:r w:rsidR="00324A35">
        <w:rPr>
          <w:u w:val="single"/>
        </w:rPr>
        <w:instrText xml:space="preserve"> REF _Ref149742928 \w \h </w:instrText>
      </w:r>
      <w:r w:rsidR="00324A35">
        <w:rPr>
          <w:u w:val="single"/>
        </w:rPr>
      </w:r>
      <w:r w:rsidR="00324A35">
        <w:rPr>
          <w:u w:val="single"/>
        </w:rPr>
        <w:fldChar w:fldCharType="separate"/>
      </w:r>
      <w:r w:rsidR="00324A35">
        <w:rPr>
          <w:u w:val="single"/>
        </w:rPr>
        <w:t>12.2(B)</w:t>
      </w:r>
      <w:r w:rsidR="00324A35">
        <w:rPr>
          <w:u w:val="single"/>
        </w:rPr>
        <w:fldChar w:fldCharType="end"/>
      </w:r>
      <w:r>
        <w:t xml:space="preserve"> of more than an aggregate total of forty-five (45) Days, Seller must, at any time prior to, but no later than, 6:00 a.m. on the third Business Day immediately prior to the Critical Path Development Milestone date set forth in </w:t>
      </w:r>
      <w:r>
        <w:rPr>
          <w:u w:val="single"/>
        </w:rPr>
        <w:t xml:space="preserve">Section </w:t>
      </w:r>
      <w:r w:rsidR="00324A35">
        <w:rPr>
          <w:u w:val="single"/>
        </w:rPr>
        <w:fldChar w:fldCharType="begin"/>
      </w:r>
      <w:r w:rsidR="00324A35">
        <w:rPr>
          <w:u w:val="single"/>
        </w:rPr>
        <w:instrText xml:space="preserve"> REF _Ref149742902 \w \h </w:instrText>
      </w:r>
      <w:r w:rsidR="00324A35">
        <w:rPr>
          <w:u w:val="single"/>
        </w:rPr>
      </w:r>
      <w:r w:rsidR="00324A35">
        <w:rPr>
          <w:u w:val="single"/>
        </w:rPr>
        <w:fldChar w:fldCharType="separate"/>
      </w:r>
      <w:r w:rsidR="00324A35">
        <w:rPr>
          <w:u w:val="single"/>
        </w:rPr>
        <w:t>4.1(B)</w:t>
      </w:r>
      <w:r w:rsidR="00324A35">
        <w:rPr>
          <w:u w:val="single"/>
        </w:rPr>
        <w:fldChar w:fldCharType="end"/>
      </w:r>
      <w:r>
        <w:t xml:space="preserve"> or the Target COD, as applicable (as such dates may have been previously extended pursuant to this </w:t>
      </w:r>
      <w:r>
        <w:rPr>
          <w:u w:val="single"/>
        </w:rPr>
        <w:t xml:space="preserve">Section </w:t>
      </w:r>
      <w:r w:rsidR="00324A35">
        <w:rPr>
          <w:u w:val="single"/>
        </w:rPr>
        <w:fldChar w:fldCharType="begin"/>
      </w:r>
      <w:r w:rsidR="00324A35">
        <w:rPr>
          <w:u w:val="single"/>
        </w:rPr>
        <w:instrText xml:space="preserve"> REF _Ref149742928 \w \h </w:instrText>
      </w:r>
      <w:r w:rsidR="00324A35">
        <w:rPr>
          <w:u w:val="single"/>
        </w:rPr>
      </w:r>
      <w:r w:rsidR="00324A35">
        <w:rPr>
          <w:u w:val="single"/>
        </w:rPr>
        <w:fldChar w:fldCharType="separate"/>
      </w:r>
      <w:r w:rsidR="00324A35">
        <w:rPr>
          <w:u w:val="single"/>
        </w:rPr>
        <w:t>12.2(B)</w:t>
      </w:r>
      <w:r w:rsidR="00324A35">
        <w:rPr>
          <w:u w:val="single"/>
        </w:rPr>
        <w:fldChar w:fldCharType="end"/>
      </w:r>
      <w:r>
        <w:t>), provide a written opinion from a mutually-agreeable Independent Engineer that such Critical Path Development Milestone or COD, as applicable, can reasonably be achieved within such additional period.</w:t>
      </w:r>
      <w:bookmarkEnd w:id="375"/>
      <w:r>
        <w:t xml:space="preserve"> </w:t>
      </w:r>
    </w:p>
    <w:p w14:paraId="163C07AA" w14:textId="07C9F049" w:rsidR="00B63F33" w:rsidRDefault="00B63F33" w:rsidP="002B7809">
      <w:pPr>
        <w:pStyle w:val="ArticleL3"/>
      </w:pPr>
      <w:r>
        <w:rPr>
          <w:i/>
          <w:u w:val="single"/>
        </w:rPr>
        <w:t>Termination</w:t>
      </w:r>
      <w:r>
        <w:t xml:space="preserve">.  Failure to cure a CPD Delay or COD Delay within the applicable cure period </w:t>
      </w:r>
      <w:proofErr w:type="gramStart"/>
      <w:r>
        <w:t>set forth in</w:t>
      </w:r>
      <w:proofErr w:type="gramEnd"/>
      <w:r>
        <w:t xml:space="preserve"> </w:t>
      </w:r>
      <w:r>
        <w:rPr>
          <w:u w:val="single"/>
        </w:rPr>
        <w:t xml:space="preserve">Section </w:t>
      </w:r>
      <w:r w:rsidR="00324A35">
        <w:rPr>
          <w:u w:val="single"/>
        </w:rPr>
        <w:fldChar w:fldCharType="begin"/>
      </w:r>
      <w:r w:rsidR="00324A35">
        <w:rPr>
          <w:u w:val="single"/>
        </w:rPr>
        <w:instrText xml:space="preserve"> REF _Ref149742928 \w \h </w:instrText>
      </w:r>
      <w:r w:rsidR="00324A35">
        <w:rPr>
          <w:u w:val="single"/>
        </w:rPr>
      </w:r>
      <w:r w:rsidR="00324A35">
        <w:rPr>
          <w:u w:val="single"/>
        </w:rPr>
        <w:fldChar w:fldCharType="separate"/>
      </w:r>
      <w:r w:rsidR="00324A35">
        <w:rPr>
          <w:u w:val="single"/>
        </w:rPr>
        <w:t>12.2(B)</w:t>
      </w:r>
      <w:r w:rsidR="00324A35">
        <w:rPr>
          <w:u w:val="single"/>
        </w:rPr>
        <w:fldChar w:fldCharType="end"/>
      </w:r>
      <w:r>
        <w:t xml:space="preserve"> shall be an Event of Default by Seller.  Upon such an Event of Default, Company may (i) terminate this PPA immediately upon notice to Seller, without penalty or further obligation to Seller except as to costs and balances incurred prior to the effective date of such termination, and (ii) in connection therewith, in addition to accrued Liquidated Delay Damages but in lieu of Actual Damages for the balance of the Term, collect from Seller liquidated damages therefor in the amount of </w:t>
      </w:r>
      <w:r>
        <w:rPr>
          <w:i/>
        </w:rPr>
        <w:t>[</w:t>
      </w:r>
      <w:r>
        <w:rPr>
          <w:i/>
          <w:color w:val="FF0000"/>
          <w:highlight w:val="yellow"/>
        </w:rPr>
        <w:t>insert $100/kW x Facility Nameplate Capacity</w:t>
      </w:r>
      <w:r>
        <w:rPr>
          <w:i/>
        </w:rPr>
        <w:t>]</w:t>
      </w:r>
      <w:r>
        <w:t xml:space="preserve">.   </w:t>
      </w:r>
    </w:p>
    <w:p w14:paraId="17FECC9E" w14:textId="3577010B" w:rsidR="00B63F33" w:rsidRDefault="00B63F33" w:rsidP="002B7809">
      <w:pPr>
        <w:pStyle w:val="ArticleL2"/>
      </w:pPr>
      <w:bookmarkStart w:id="376" w:name="_Toc147494885"/>
      <w:bookmarkStart w:id="377" w:name="_Toc433954010"/>
      <w:bookmarkStart w:id="378" w:name="_Toc433954168"/>
      <w:bookmarkStart w:id="379" w:name="_Ref149744684"/>
      <w:r w:rsidRPr="00172ED0">
        <w:rPr>
          <w:rStyle w:val="ArticleL2UnderlineChar"/>
        </w:rPr>
        <w:t>Default by Company</w:t>
      </w:r>
      <w:bookmarkEnd w:id="376"/>
      <w:r>
        <w:t>.</w:t>
      </w:r>
      <w:bookmarkEnd w:id="377"/>
      <w:bookmarkEnd w:id="378"/>
      <w:bookmarkEnd w:id="379"/>
      <w:r>
        <w:t xml:space="preserve">  </w:t>
      </w:r>
    </w:p>
    <w:p w14:paraId="24FC844B" w14:textId="6913C801" w:rsidR="00B63F33" w:rsidRDefault="00B63F33" w:rsidP="002B7809">
      <w:pPr>
        <w:pStyle w:val="ArticleL3"/>
      </w:pPr>
      <w:r>
        <w:rPr>
          <w:i/>
          <w:u w:val="single"/>
        </w:rPr>
        <w:t>Events</w:t>
      </w:r>
      <w:r>
        <w:t xml:space="preserve">.  Any of the following events shall constitute a default by Company under this PPA.   If no cure period is provided below, such default shall be deemed an Event of Default by Company immediately upon its occurrence.  If a cure </w:t>
      </w:r>
      <w:r>
        <w:lastRenderedPageBreak/>
        <w:t xml:space="preserve">period is </w:t>
      </w:r>
      <w:proofErr w:type="gramStart"/>
      <w:r>
        <w:t>provided</w:t>
      </w:r>
      <w:proofErr w:type="gramEnd"/>
      <w:r>
        <w:t xml:space="preserve"> below, such default shall mature into an Event of Default if not cured within the indicated cure period, subject to </w:t>
      </w:r>
      <w:r>
        <w:rPr>
          <w:u w:val="single"/>
        </w:rPr>
        <w:t xml:space="preserve">Section </w:t>
      </w:r>
      <w:r w:rsidR="00324A35">
        <w:rPr>
          <w:u w:val="single"/>
        </w:rPr>
        <w:fldChar w:fldCharType="begin"/>
      </w:r>
      <w:r w:rsidR="00324A35">
        <w:rPr>
          <w:u w:val="single"/>
        </w:rPr>
        <w:instrText xml:space="preserve"> REF _Ref149744000 \w \h </w:instrText>
      </w:r>
      <w:r w:rsidR="00324A35">
        <w:rPr>
          <w:u w:val="single"/>
        </w:rPr>
      </w:r>
      <w:r w:rsidR="00324A35">
        <w:rPr>
          <w:u w:val="single"/>
        </w:rPr>
        <w:fldChar w:fldCharType="separate"/>
      </w:r>
      <w:r w:rsidR="00324A35">
        <w:rPr>
          <w:u w:val="single"/>
        </w:rPr>
        <w:t>13.3</w:t>
      </w:r>
      <w:r w:rsidR="00324A35">
        <w:rPr>
          <w:u w:val="single"/>
        </w:rPr>
        <w:fldChar w:fldCharType="end"/>
      </w:r>
      <w:r>
        <w:t xml:space="preserve"> below. </w:t>
      </w:r>
    </w:p>
    <w:p w14:paraId="066C023F" w14:textId="77777777" w:rsidR="00B63F33" w:rsidRDefault="00B63F33" w:rsidP="002B7809">
      <w:pPr>
        <w:pStyle w:val="ArticleL4"/>
      </w:pPr>
      <w:r>
        <w:t xml:space="preserve">Company’s application for, or consent (by admission of material allegations of a petition or otherwise) to, the appointment of a receiver, trustee or liquidator for Company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sixty (60) Days from inception.  </w:t>
      </w:r>
    </w:p>
    <w:p w14:paraId="789EEBEC" w14:textId="77777777" w:rsidR="00B63F33" w:rsidRDefault="00B63F33" w:rsidP="002B7809">
      <w:pPr>
        <w:pStyle w:val="ArticleL4"/>
        <w:numPr>
          <w:ilvl w:val="0"/>
          <w:numId w:val="0"/>
        </w:numPr>
        <w:ind w:left="2520"/>
      </w:pPr>
      <w:r w:rsidRPr="005357FF">
        <w:rPr>
          <w:i/>
        </w:rPr>
        <w:t>Cure Period</w:t>
      </w:r>
      <w:r>
        <w:t xml:space="preserve">:  </w:t>
      </w:r>
      <w:r>
        <w:tab/>
        <w:t>None.</w:t>
      </w:r>
    </w:p>
    <w:p w14:paraId="03CDB00E" w14:textId="77777777" w:rsidR="00B63F33" w:rsidRDefault="00B63F33" w:rsidP="002B7809">
      <w:pPr>
        <w:pStyle w:val="ArticleL4"/>
      </w:pPr>
      <w:r>
        <w:t xml:space="preserve">Company’s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Company without such authorization, application or consent, which proceedings remain undismissed or unstayed for sixty (60) Days from its inception or which result in adjudication of bankruptcy or insolvency within such time.  </w:t>
      </w:r>
    </w:p>
    <w:p w14:paraId="04E7AB2F" w14:textId="77777777" w:rsidR="00B63F33" w:rsidRDefault="00B63F33" w:rsidP="002B7809">
      <w:pPr>
        <w:pStyle w:val="ArticleL4"/>
        <w:numPr>
          <w:ilvl w:val="0"/>
          <w:numId w:val="0"/>
        </w:numPr>
        <w:ind w:left="2520"/>
      </w:pPr>
      <w:r w:rsidRPr="005357FF">
        <w:rPr>
          <w:i/>
        </w:rPr>
        <w:t>Cure Period</w:t>
      </w:r>
      <w:r>
        <w:t xml:space="preserve">:  </w:t>
      </w:r>
      <w:r>
        <w:tab/>
        <w:t>None.</w:t>
      </w:r>
    </w:p>
    <w:p w14:paraId="469ECFFD" w14:textId="36ECC400" w:rsidR="00B63F33" w:rsidRDefault="00B63F33" w:rsidP="002B7809">
      <w:pPr>
        <w:pStyle w:val="ArticleL4"/>
      </w:pPr>
      <w:r>
        <w:t xml:space="preserve">Company’s assignment of this PPA, not </w:t>
      </w:r>
      <w:proofErr w:type="gramStart"/>
      <w:r>
        <w:t>permitted</w:t>
      </w:r>
      <w:proofErr w:type="gramEnd"/>
      <w:r>
        <w:t xml:space="preserve"> by </w:t>
      </w:r>
      <w:r>
        <w:rPr>
          <w:u w:val="single"/>
        </w:rPr>
        <w:t xml:space="preserve">Section </w:t>
      </w:r>
      <w:r w:rsidR="00324A35">
        <w:rPr>
          <w:u w:val="single"/>
        </w:rPr>
        <w:fldChar w:fldCharType="begin"/>
      </w:r>
      <w:r w:rsidR="00324A35">
        <w:rPr>
          <w:u w:val="single"/>
        </w:rPr>
        <w:instrText xml:space="preserve"> REF _Ref149744015 \w \h </w:instrText>
      </w:r>
      <w:r w:rsidR="00324A35">
        <w:rPr>
          <w:u w:val="single"/>
        </w:rPr>
      </w:r>
      <w:r w:rsidR="00324A35">
        <w:rPr>
          <w:u w:val="single"/>
        </w:rPr>
        <w:fldChar w:fldCharType="separate"/>
      </w:r>
      <w:r w:rsidR="00324A35">
        <w:rPr>
          <w:u w:val="single"/>
        </w:rPr>
        <w:t>19.2</w:t>
      </w:r>
      <w:r w:rsidR="00324A35">
        <w:rPr>
          <w:u w:val="single"/>
        </w:rPr>
        <w:fldChar w:fldCharType="end"/>
      </w:r>
      <w:r>
        <w:t xml:space="preserve">.  </w:t>
      </w:r>
    </w:p>
    <w:p w14:paraId="559DF34D" w14:textId="77777777" w:rsidR="00B63F33" w:rsidRDefault="00B63F33" w:rsidP="002B7809">
      <w:pPr>
        <w:pStyle w:val="ArticleL4"/>
        <w:numPr>
          <w:ilvl w:val="0"/>
          <w:numId w:val="0"/>
        </w:numPr>
        <w:ind w:left="2520"/>
      </w:pPr>
      <w:r w:rsidRPr="005357FF">
        <w:rPr>
          <w:i/>
        </w:rPr>
        <w:t>Cure Period</w:t>
      </w:r>
      <w:r>
        <w:t xml:space="preserve">:  </w:t>
      </w:r>
      <w:r>
        <w:tab/>
        <w:t>None.</w:t>
      </w:r>
    </w:p>
    <w:p w14:paraId="278BBB5F" w14:textId="08DBE841" w:rsidR="00B63F33" w:rsidRDefault="00B63F33" w:rsidP="002B7809">
      <w:pPr>
        <w:pStyle w:val="ArticleL4"/>
      </w:pPr>
      <w:r>
        <w:t xml:space="preserve">Any representation or warranty by </w:t>
      </w:r>
      <w:bookmarkStart w:id="380" w:name="_cp_change_93"/>
      <w:r w:rsidR="0007631F">
        <w:t xml:space="preserve">Company </w:t>
      </w:r>
      <w:bookmarkEnd w:id="380"/>
      <w:r w:rsidR="00AA0940">
        <w:t xml:space="preserve">that materially affects its ability to perform this PPA </w:t>
      </w:r>
      <w:r w:rsidR="00E82A47">
        <w:t xml:space="preserve">(a) is proven to have been false in any material respect when made or, (b) ceases to remain true in all material respects during the Term, </w:t>
      </w:r>
      <w:r>
        <w:rPr>
          <w:i/>
          <w:iCs/>
        </w:rPr>
        <w:t>provided however</w:t>
      </w:r>
      <w:r>
        <w:t xml:space="preserve">, that a representation or warranty that ceases to remain true due to a change in Applicable Law shall not be considered an Event of Default.  </w:t>
      </w:r>
    </w:p>
    <w:p w14:paraId="36A002A7" w14:textId="62DD53D0" w:rsidR="00B63F33" w:rsidRDefault="00B63F33" w:rsidP="002B7809">
      <w:pPr>
        <w:pStyle w:val="ArticleL4"/>
        <w:numPr>
          <w:ilvl w:val="0"/>
          <w:numId w:val="0"/>
        </w:numPr>
        <w:ind w:left="2520"/>
      </w:pPr>
      <w:r>
        <w:rPr>
          <w:i/>
        </w:rPr>
        <w:t>Cure Period</w:t>
      </w:r>
      <w:r>
        <w:t xml:space="preserve">: </w:t>
      </w:r>
      <w:r>
        <w:tab/>
        <w:t xml:space="preserve">Thirty (30) Days after </w:t>
      </w:r>
      <w:bookmarkStart w:id="381" w:name="_cp_change_98"/>
      <w:r w:rsidRPr="00E82A47">
        <w:rPr>
          <w:color w:val="000000" w:themeColor="text1"/>
        </w:rPr>
        <w:t>Seller</w:t>
      </w:r>
      <w:bookmarkEnd w:id="381"/>
      <w:r w:rsidRPr="00E82A47">
        <w:rPr>
          <w:color w:val="000000" w:themeColor="text1"/>
        </w:rPr>
        <w:t xml:space="preserve"> </w:t>
      </w:r>
      <w:r>
        <w:t xml:space="preserve">provides notice of such breach. </w:t>
      </w:r>
    </w:p>
    <w:p w14:paraId="3392A406" w14:textId="77777777" w:rsidR="00B63F33" w:rsidRDefault="00B63F33" w:rsidP="002B7809">
      <w:pPr>
        <w:pStyle w:val="ArticleL4"/>
      </w:pPr>
      <w:r>
        <w:t>Company’s</w:t>
      </w:r>
      <w:r>
        <w:rPr>
          <w:lang w:val="en-CA"/>
        </w:rPr>
        <w:t xml:space="preserve"> failure to make any payment to Seller as and when required by this PPA, including invoiced amounts, Actual Damages and any required indemnification</w:t>
      </w:r>
      <w:proofErr w:type="gramStart"/>
      <w:r>
        <w:rPr>
          <w:lang w:val="en-CA"/>
        </w:rPr>
        <w:t xml:space="preserve">.  </w:t>
      </w:r>
      <w:proofErr w:type="gramEnd"/>
      <w:r>
        <w:rPr>
          <w:lang w:val="en-CA"/>
        </w:rPr>
        <w:t xml:space="preserve"> </w:t>
      </w:r>
    </w:p>
    <w:p w14:paraId="1BAB4E7A" w14:textId="77777777" w:rsidR="00B63F33" w:rsidRDefault="00B63F33" w:rsidP="002B7809">
      <w:pPr>
        <w:pStyle w:val="ArticleL4"/>
        <w:numPr>
          <w:ilvl w:val="0"/>
          <w:numId w:val="0"/>
        </w:numPr>
        <w:ind w:left="2520"/>
      </w:pPr>
      <w:r>
        <w:rPr>
          <w:i/>
          <w:lang w:val="en-CA"/>
        </w:rPr>
        <w:t>Cure Period</w:t>
      </w:r>
      <w:r>
        <w:rPr>
          <w:lang w:val="en-CA"/>
        </w:rPr>
        <w:t xml:space="preserve">: </w:t>
      </w:r>
      <w:r>
        <w:rPr>
          <w:lang w:val="en-CA"/>
        </w:rPr>
        <w:tab/>
        <w:t>Ten (10) Business Days after Seller provides notice that the amount is overdue.</w:t>
      </w:r>
    </w:p>
    <w:p w14:paraId="423998B1" w14:textId="77777777" w:rsidR="00B63F33" w:rsidRDefault="00B63F33" w:rsidP="002B7809">
      <w:pPr>
        <w:pStyle w:val="ArticleL4"/>
      </w:pPr>
      <w:r>
        <w:rPr>
          <w:lang w:val="en-CA"/>
        </w:rPr>
        <w:t xml:space="preserve">The failure by Company to perform or observe any other material obligation to Seller under this PPA, unexcused by Force Majeure.   </w:t>
      </w:r>
    </w:p>
    <w:p w14:paraId="36A3A8A0" w14:textId="5DF291DC" w:rsidR="00B63F33" w:rsidRDefault="00B63F33" w:rsidP="002B7809">
      <w:pPr>
        <w:pStyle w:val="ArticleL4"/>
        <w:numPr>
          <w:ilvl w:val="0"/>
          <w:numId w:val="0"/>
        </w:numPr>
        <w:ind w:left="2520"/>
      </w:pPr>
      <w:r>
        <w:rPr>
          <w:i/>
          <w:lang w:val="en-CA"/>
        </w:rPr>
        <w:t>Cure Period</w:t>
      </w:r>
      <w:r>
        <w:rPr>
          <w:lang w:val="en-CA"/>
        </w:rPr>
        <w:t xml:space="preserve">: </w:t>
      </w:r>
      <w:r>
        <w:rPr>
          <w:lang w:val="en-CA"/>
        </w:rPr>
        <w:tab/>
      </w:r>
      <w:bookmarkStart w:id="382" w:name="_Hlk46914175"/>
      <w:r>
        <w:t xml:space="preserve">Thirty (30) Days </w:t>
      </w:r>
      <w:r>
        <w:rPr>
          <w:lang w:val="en-CA"/>
        </w:rPr>
        <w:t xml:space="preserve">after Seller provides notice; </w:t>
      </w:r>
      <w:r>
        <w:rPr>
          <w:i/>
          <w:lang w:val="en-CA"/>
        </w:rPr>
        <w:t>provided</w:t>
      </w:r>
      <w:r>
        <w:rPr>
          <w:lang w:val="en-CA"/>
        </w:rPr>
        <w:t xml:space="preserve">, that if such default is not reasonably capable of cure within such thirty (30) Day period, Company shall have such additional period of time </w:t>
      </w:r>
      <w:r>
        <w:t xml:space="preserve">(not to exceed ninety (90) Days in any </w:t>
      </w:r>
      <w:r>
        <w:lastRenderedPageBreak/>
        <w:t xml:space="preserve">event) as is reasonably necessary for cure, so long as Company initiates cure within such </w:t>
      </w:r>
      <w:r>
        <w:rPr>
          <w:lang w:val="en-CA"/>
        </w:rPr>
        <w:t xml:space="preserve">thirty (30) </w:t>
      </w:r>
      <w:r>
        <w:t>Day period and diligently prosecutes the cure to conclusion thereafter.</w:t>
      </w:r>
      <w:bookmarkEnd w:id="382"/>
    </w:p>
    <w:p w14:paraId="3F88D24C" w14:textId="3CE275F5" w:rsidR="00B63F33" w:rsidRDefault="00B63F33" w:rsidP="002B7809">
      <w:pPr>
        <w:pStyle w:val="ArticleL3"/>
      </w:pPr>
      <w:bookmarkStart w:id="383" w:name="_Ref149742811"/>
      <w:r>
        <w:rPr>
          <w:i/>
          <w:u w:val="single"/>
        </w:rPr>
        <w:t>Remedies for Default</w:t>
      </w:r>
      <w:r>
        <w:fldChar w:fldCharType="begin"/>
      </w:r>
      <w:r>
        <w:instrText xml:space="preserve"> TC </w:instrText>
      </w:r>
      <w:r>
        <w:fldChar w:fldCharType="end"/>
      </w:r>
      <w:r>
        <w:t xml:space="preserve">.  In connection with any default by Company (whether or not cured by Company), Seller </w:t>
      </w:r>
      <w:proofErr w:type="gramStart"/>
      <w:r>
        <w:t>may;</w:t>
      </w:r>
      <w:bookmarkEnd w:id="383"/>
      <w:proofErr w:type="gramEnd"/>
      <w:r>
        <w:t xml:space="preserve">   </w:t>
      </w:r>
    </w:p>
    <w:p w14:paraId="7EF89515" w14:textId="77777777" w:rsidR="00B63F33" w:rsidRDefault="00B63F33" w:rsidP="002B7809">
      <w:pPr>
        <w:pStyle w:val="ArticleL4"/>
      </w:pPr>
      <w:r>
        <w:t>Seek Actual Damages in such amounts and on such basis for the default as authorized by this PPA; and/or</w:t>
      </w:r>
    </w:p>
    <w:p w14:paraId="217C40EA" w14:textId="77777777" w:rsidR="00B63F33" w:rsidRDefault="00B63F33" w:rsidP="002B7809">
      <w:pPr>
        <w:pStyle w:val="ArticleL4"/>
      </w:pPr>
      <w:r>
        <w:t>Offset against any payments due to Company, any Actual Damages and other amounts due from Company.</w:t>
      </w:r>
    </w:p>
    <w:p w14:paraId="36D31545" w14:textId="34281495" w:rsidR="00B63F33" w:rsidRDefault="00B63F33" w:rsidP="002B7809">
      <w:pPr>
        <w:pStyle w:val="ArticleL3"/>
      </w:pPr>
      <w:bookmarkStart w:id="384" w:name="_Ref149742825"/>
      <w:r>
        <w:rPr>
          <w:i/>
          <w:u w:val="single"/>
        </w:rPr>
        <w:t>Termination for Event of Default</w:t>
      </w:r>
      <w:r>
        <w:t xml:space="preserve">.  Upon an Event of Default by Company, in addition to its rights under </w:t>
      </w:r>
      <w:r>
        <w:rPr>
          <w:u w:val="single"/>
        </w:rPr>
        <w:t xml:space="preserve">Section </w:t>
      </w:r>
      <w:r w:rsidR="00324A35">
        <w:rPr>
          <w:u w:val="single"/>
        </w:rPr>
        <w:fldChar w:fldCharType="begin"/>
      </w:r>
      <w:r w:rsidR="00324A35">
        <w:rPr>
          <w:u w:val="single"/>
        </w:rPr>
        <w:instrText xml:space="preserve"> REF _Ref149742811 \w \h </w:instrText>
      </w:r>
      <w:r w:rsidR="00324A35">
        <w:rPr>
          <w:u w:val="single"/>
        </w:rPr>
      </w:r>
      <w:r w:rsidR="00324A35">
        <w:rPr>
          <w:u w:val="single"/>
        </w:rPr>
        <w:fldChar w:fldCharType="separate"/>
      </w:r>
      <w:r w:rsidR="00324A35">
        <w:rPr>
          <w:u w:val="single"/>
        </w:rPr>
        <w:t>12.3(B)</w:t>
      </w:r>
      <w:r w:rsidR="00324A35">
        <w:rPr>
          <w:u w:val="single"/>
        </w:rPr>
        <w:fldChar w:fldCharType="end"/>
      </w:r>
      <w:r>
        <w:t xml:space="preserve"> above, Seller may terminate this PPA immediately upon notice to Company, without penalty or further obligation to Company, and in connection therewith, collect from Company all Actual Damages arising from such Event of Default through the Scheduled Termination Date.</w:t>
      </w:r>
      <w:bookmarkEnd w:id="384"/>
    </w:p>
    <w:p w14:paraId="5AE3BDC0" w14:textId="68A58F6F" w:rsidR="00B63F33" w:rsidRDefault="00B63F33" w:rsidP="002B7809">
      <w:pPr>
        <w:pStyle w:val="ArticleL2"/>
      </w:pPr>
      <w:bookmarkStart w:id="385" w:name="_Toc147494886"/>
      <w:bookmarkStart w:id="386" w:name="_Toc433954011"/>
      <w:bookmarkStart w:id="387" w:name="_Toc433954169"/>
      <w:r w:rsidRPr="00172ED0">
        <w:rPr>
          <w:rStyle w:val="ArticleL2UnderlineChar"/>
        </w:rPr>
        <w:t>Limitations on Damages</w:t>
      </w:r>
      <w:bookmarkEnd w:id="385"/>
      <w:r>
        <w:t>.</w:t>
      </w:r>
      <w:bookmarkEnd w:id="386"/>
      <w:bookmarkEnd w:id="387"/>
      <w:r>
        <w:t xml:space="preserve">  </w:t>
      </w:r>
      <w:bookmarkEnd w:id="370"/>
    </w:p>
    <w:p w14:paraId="6DF345BD" w14:textId="2B67F5B0" w:rsidR="00B63F33" w:rsidRDefault="00B63F33" w:rsidP="00172ED0">
      <w:pPr>
        <w:pStyle w:val="ArticleL3"/>
        <w:keepNext w:val="0"/>
      </w:pPr>
      <w:bookmarkStart w:id="388" w:name="_Ref149743445"/>
      <w:r>
        <w:t xml:space="preserve">Except as otherwise provided in </w:t>
      </w:r>
      <w:r>
        <w:rPr>
          <w:u w:val="single"/>
        </w:rPr>
        <w:t xml:space="preserve">Section </w:t>
      </w:r>
      <w:r w:rsidR="00324A35">
        <w:rPr>
          <w:u w:val="single"/>
        </w:rPr>
        <w:fldChar w:fldCharType="begin"/>
      </w:r>
      <w:r w:rsidR="00324A35">
        <w:rPr>
          <w:u w:val="single"/>
        </w:rPr>
        <w:instrText xml:space="preserve"> REF _Ref149743454 \w \h </w:instrText>
      </w:r>
      <w:r w:rsidR="00324A35">
        <w:rPr>
          <w:u w:val="single"/>
        </w:rPr>
      </w:r>
      <w:r w:rsidR="00324A35">
        <w:rPr>
          <w:u w:val="single"/>
        </w:rPr>
        <w:fldChar w:fldCharType="separate"/>
      </w:r>
      <w:r w:rsidR="00324A35">
        <w:rPr>
          <w:u w:val="single"/>
        </w:rPr>
        <w:t>12.4(B)</w:t>
      </w:r>
      <w:r w:rsidR="00324A35">
        <w:rPr>
          <w:u w:val="single"/>
        </w:rPr>
        <w:fldChar w:fldCharType="end"/>
      </w:r>
      <w:r>
        <w:t xml:space="preserve">, following COD Seller’s aggregate financial liability to Company for Actual Damages shall not exceed </w:t>
      </w:r>
      <w:r>
        <w:rPr>
          <w:i/>
          <w:highlight w:val="yellow"/>
        </w:rPr>
        <w:t>[</w:t>
      </w:r>
      <w:r>
        <w:rPr>
          <w:i/>
          <w:color w:val="FF0000"/>
          <w:highlight w:val="yellow"/>
        </w:rPr>
        <w:t>insert [$75/kW x Facility Nameplate Capacity</w:t>
      </w:r>
      <w:r>
        <w:rPr>
          <w:i/>
        </w:rPr>
        <w:t>]</w:t>
      </w:r>
      <w:r>
        <w:t xml:space="preserve"> (the “</w:t>
      </w:r>
      <w:r>
        <w:rPr>
          <w:u w:val="single"/>
        </w:rPr>
        <w:t>Damage Cap</w:t>
      </w:r>
      <w:r>
        <w:t>”).  If at any time following COD, Company incurs damages in excess of the Damage Cap that Seller does not pay when billed by Company, Company shall have the right to terminate this PPA upon notice to Seller, without further obligation by either Party except as to costs and balances incurred prior to the effective date of such termination.</w:t>
      </w:r>
      <w:bookmarkEnd w:id="388"/>
      <w:r>
        <w:t xml:space="preserve">  </w:t>
      </w:r>
    </w:p>
    <w:p w14:paraId="28C75F72" w14:textId="77777777" w:rsidR="00B63F33" w:rsidRDefault="00B63F33" w:rsidP="00172ED0">
      <w:pPr>
        <w:pStyle w:val="ArticleL3"/>
        <w:keepNext w:val="0"/>
      </w:pPr>
      <w:bookmarkStart w:id="389" w:name="_Ref149743454"/>
      <w:r>
        <w:t>Actual Damages payable by Seller arising out of any of the following events shall not be subject to the Damage Cap and shall not be credited against the Damage Cap:</w:t>
      </w:r>
      <w:bookmarkEnd w:id="389"/>
    </w:p>
    <w:p w14:paraId="03A54E97" w14:textId="77777777" w:rsidR="00B63F33" w:rsidRDefault="00B63F33" w:rsidP="00172ED0">
      <w:pPr>
        <w:pStyle w:val="ArticleL4"/>
        <w:keepNext w:val="0"/>
      </w:pPr>
      <w:r>
        <w:t xml:space="preserve">damage to Company-owned facilities proximately caused by negligence, breach of this PPA or misconduct by Seller, its directors, officers, employees and </w:t>
      </w:r>
      <w:proofErr w:type="gramStart"/>
      <w:r>
        <w:t>agents;</w:t>
      </w:r>
      <w:proofErr w:type="gramEnd"/>
    </w:p>
    <w:p w14:paraId="77C4B6D7" w14:textId="77777777" w:rsidR="00B63F33" w:rsidRDefault="00B63F33" w:rsidP="00172ED0">
      <w:pPr>
        <w:pStyle w:val="ArticleL4"/>
        <w:keepNext w:val="0"/>
      </w:pPr>
      <w:r>
        <w:t xml:space="preserve">Seller’s intentional misrepresentation or intentional misconduct in connection with this PPA or the operation of the </w:t>
      </w:r>
      <w:proofErr w:type="gramStart"/>
      <w:r>
        <w:t>Facility;</w:t>
      </w:r>
      <w:proofErr w:type="gramEnd"/>
    </w:p>
    <w:p w14:paraId="50A75AF4" w14:textId="569D7F99" w:rsidR="00B63F33" w:rsidRDefault="00B63F33" w:rsidP="00172ED0">
      <w:pPr>
        <w:pStyle w:val="ArticleL4"/>
        <w:keepNext w:val="0"/>
      </w:pPr>
      <w:r>
        <w:t xml:space="preserve">the sale or diversion by Seller to a third party of any Renewable Energy or Ancillary Services from the Facility, excluding sales of Excess Energy under </w:t>
      </w:r>
      <w:r>
        <w:rPr>
          <w:u w:val="single"/>
        </w:rPr>
        <w:t xml:space="preserve">Section </w:t>
      </w:r>
      <w:r w:rsidR="00324A35">
        <w:rPr>
          <w:u w:val="single"/>
        </w:rPr>
        <w:fldChar w:fldCharType="begin"/>
      </w:r>
      <w:r w:rsidR="00324A35">
        <w:rPr>
          <w:u w:val="single"/>
        </w:rPr>
        <w:instrText xml:space="preserve"> REF _Ref149744072 \w \h </w:instrText>
      </w:r>
      <w:r w:rsidR="00324A35">
        <w:rPr>
          <w:u w:val="single"/>
        </w:rPr>
      </w:r>
      <w:r w:rsidR="00324A35">
        <w:rPr>
          <w:u w:val="single"/>
        </w:rPr>
        <w:fldChar w:fldCharType="separate"/>
      </w:r>
      <w:r w:rsidR="00324A35">
        <w:rPr>
          <w:u w:val="single"/>
        </w:rPr>
        <w:t>8.2</w:t>
      </w:r>
      <w:r w:rsidR="00324A35">
        <w:rPr>
          <w:u w:val="single"/>
        </w:rPr>
        <w:fldChar w:fldCharType="end"/>
      </w:r>
      <w:r>
        <w:t xml:space="preserve"> and any sales in mitigation of </w:t>
      </w:r>
      <w:proofErr w:type="gramStart"/>
      <w:r>
        <w:t>damages;</w:t>
      </w:r>
      <w:proofErr w:type="gramEnd"/>
    </w:p>
    <w:p w14:paraId="3F591E6E" w14:textId="7334E5D9" w:rsidR="00B63F33" w:rsidRDefault="00B63F33" w:rsidP="00172ED0">
      <w:pPr>
        <w:pStyle w:val="ArticleL4"/>
        <w:keepNext w:val="0"/>
      </w:pPr>
      <w:r>
        <w:t xml:space="preserve">Seller’s failure (i) to </w:t>
      </w:r>
      <w:proofErr w:type="gramStart"/>
      <w:r>
        <w:t>maintain</w:t>
      </w:r>
      <w:proofErr w:type="gramEnd"/>
      <w:r>
        <w:t xml:space="preserve"> insurance coverages in the types and amounts required by this PPA or (ii) to apply any insurance proceeds as required by </w:t>
      </w:r>
      <w:r>
        <w:rPr>
          <w:u w:val="single"/>
        </w:rPr>
        <w:t xml:space="preserve">Section </w:t>
      </w:r>
      <w:r w:rsidR="00324A35">
        <w:rPr>
          <w:u w:val="single"/>
        </w:rPr>
        <w:fldChar w:fldCharType="begin"/>
      </w:r>
      <w:r w:rsidR="00324A35">
        <w:rPr>
          <w:u w:val="single"/>
        </w:rPr>
        <w:instrText xml:space="preserve"> REF _Ref149744083 \w \h </w:instrText>
      </w:r>
      <w:r w:rsidR="00324A35">
        <w:rPr>
          <w:u w:val="single"/>
        </w:rPr>
      </w:r>
      <w:r w:rsidR="00324A35">
        <w:rPr>
          <w:u w:val="single"/>
        </w:rPr>
        <w:fldChar w:fldCharType="separate"/>
      </w:r>
      <w:r w:rsidR="00324A35">
        <w:rPr>
          <w:u w:val="single"/>
        </w:rPr>
        <w:t>16.5</w:t>
      </w:r>
      <w:r w:rsidR="00324A35">
        <w:rPr>
          <w:u w:val="single"/>
        </w:rPr>
        <w:fldChar w:fldCharType="end"/>
      </w:r>
      <w:r>
        <w:t>;</w:t>
      </w:r>
    </w:p>
    <w:p w14:paraId="58F128FE" w14:textId="77777777" w:rsidR="00B63F33" w:rsidRDefault="00B63F33" w:rsidP="00172ED0">
      <w:pPr>
        <w:pStyle w:val="ArticleL4"/>
        <w:keepNext w:val="0"/>
      </w:pPr>
      <w:r>
        <w:t xml:space="preserve">any indemnification </w:t>
      </w:r>
      <w:proofErr w:type="gramStart"/>
      <w:r>
        <w:t>claim</w:t>
      </w:r>
      <w:proofErr w:type="gramEnd"/>
      <w:r>
        <w:t xml:space="preserve"> under this PPA;</w:t>
      </w:r>
    </w:p>
    <w:p w14:paraId="36BE799B" w14:textId="77777777" w:rsidR="00B63F33" w:rsidRDefault="00B63F33" w:rsidP="00172ED0">
      <w:pPr>
        <w:pStyle w:val="ArticleL4"/>
        <w:keepNext w:val="0"/>
      </w:pPr>
      <w:r>
        <w:t>any Environmental Contamination caused or exacerbated by Seller; or</w:t>
      </w:r>
    </w:p>
    <w:p w14:paraId="444C0746" w14:textId="3D25A464" w:rsidR="00B63F33" w:rsidRDefault="00B63F33" w:rsidP="00172ED0">
      <w:pPr>
        <w:pStyle w:val="ArticleL4"/>
        <w:keepNext w:val="0"/>
      </w:pPr>
      <w:r>
        <w:lastRenderedPageBreak/>
        <w:t>damages incurred by Company in connection with any bankruptcy or insolvency proceeding involving Seller, including Company’s loss of the benefit of its bargain due to rejection or other termination of this PPA in such proceeding.</w:t>
      </w:r>
    </w:p>
    <w:p w14:paraId="33BFEBB6" w14:textId="77777777" w:rsidR="00B63F33" w:rsidRDefault="00B63F33" w:rsidP="002B7809">
      <w:pPr>
        <w:pStyle w:val="ArticleL3"/>
      </w:pPr>
      <w:bookmarkStart w:id="390" w:name="_Ref149809188"/>
      <w:r>
        <w:t>The Parties confirm that the express remedies and measures of damages provided in this PPA satisfy the essential purposes hereof.  If no remedy or measure of damages is expressly herein provided, the obligor’s liability shall be limited to all direct damages proximately caused by such default (“</w:t>
      </w:r>
      <w:r>
        <w:rPr>
          <w:u w:val="single"/>
        </w:rPr>
        <w:t>Actual Damages</w:t>
      </w:r>
      <w:r>
        <w:t xml:space="preserve">”) incurred by the non-defaulting Party, provided that if Seller is the defaulting Party, Actual Damages recoverable by Company hereunder may include Replacement Power Costs.   </w:t>
      </w:r>
      <w:r>
        <w:rPr>
          <w:b/>
        </w:rPr>
        <w:t>Neither Party shall be liable to the other Party for consequential, incidental, punitive, exemplary, special, treble, equitable or indirect damages, lost profits or other business interruption damages regardless of whether the relevant cause of action arises from statute, in tort or contract</w:t>
      </w:r>
      <w:r>
        <w:t xml:space="preserve"> (except to the extent expressly provided herein); </w:t>
      </w:r>
      <w:r>
        <w:rPr>
          <w:i/>
        </w:rPr>
        <w:t xml:space="preserve">provided, however, </w:t>
      </w:r>
      <w:r>
        <w:t>that if either Party is held liable to a third party for such damages and the Party held liable for such damages is entitled to indemnification from the other Party hereto, the indemnifying Party shall be liable for, and obligated to reimburse the indemnified Party for all such damages.</w:t>
      </w:r>
      <w:bookmarkEnd w:id="390"/>
      <w:r>
        <w:t xml:space="preserve">  </w:t>
      </w:r>
    </w:p>
    <w:p w14:paraId="64C27271" w14:textId="77777777" w:rsidR="00B63F33" w:rsidRDefault="00B63F33" w:rsidP="002B7809">
      <w:pPr>
        <w:pStyle w:val="ArticleL3"/>
      </w:pPr>
      <w:r>
        <w:t>To the extent damages required to be paid hereunder are liquidated, the Parties acknowledge that actual damages would be substantial but difficult or impossible to determine, that otherwise obtaining an adequate remedy is inconvenient, and that the liquidated damages constitute a reasonable approximation of the harm or loss.</w:t>
      </w:r>
    </w:p>
    <w:p w14:paraId="12AD4447" w14:textId="041E5638" w:rsidR="00B63F33" w:rsidRDefault="00B63F33" w:rsidP="002B7809">
      <w:pPr>
        <w:pStyle w:val="ArticleL2"/>
      </w:pPr>
      <w:bookmarkStart w:id="391" w:name="_Toc147494887"/>
      <w:bookmarkStart w:id="392" w:name="_Toc433954014"/>
      <w:bookmarkStart w:id="393" w:name="_Toc433954172"/>
      <w:bookmarkStart w:id="394" w:name="_Toc288027285"/>
      <w:r w:rsidRPr="00172ED0">
        <w:rPr>
          <w:rStyle w:val="ArticleL2UnderlineChar"/>
        </w:rPr>
        <w:t>Bankruptcy</w:t>
      </w:r>
      <w:bookmarkEnd w:id="391"/>
      <w:r>
        <w:t xml:space="preserve">.  This PPA grants each Party the contractual right to “cause the liquidation, termination or acceleration” of the transactions within the meaning of Sections 556, 560 and 561 of the U.S. Bankruptcy Code, as they may be amended superseded or replaced from time to time.  Upon a bankruptcy, a non-defaulting Party shall be entitled to exercise its rights and remedies under this PPA in accordance with the safe harbor provisions of the Bankruptcy Code set forth in, </w:t>
      </w:r>
      <w:r>
        <w:rPr>
          <w:i/>
        </w:rPr>
        <w:t>inter alia</w:t>
      </w:r>
      <w:r>
        <w:t xml:space="preserve">, Sections </w:t>
      </w:r>
      <w:r>
        <w:rPr>
          <w:strike/>
          <w:u w:color="FF0000"/>
        </w:rPr>
        <w:t>§</w:t>
      </w:r>
      <w:r>
        <w:t xml:space="preserve">362(b)(6), </w:t>
      </w:r>
      <w:r>
        <w:rPr>
          <w:strike/>
          <w:u w:color="FF0000"/>
        </w:rPr>
        <w:t>§</w:t>
      </w:r>
      <w:r>
        <w:t xml:space="preserve">362(b)(17), </w:t>
      </w:r>
      <w:r>
        <w:rPr>
          <w:strike/>
          <w:u w:color="FF0000"/>
        </w:rPr>
        <w:t>§</w:t>
      </w:r>
      <w:r>
        <w:t xml:space="preserve">362(b)(27), </w:t>
      </w:r>
      <w:r>
        <w:rPr>
          <w:strike/>
          <w:u w:color="FF0000"/>
        </w:rPr>
        <w:t>§</w:t>
      </w:r>
      <w:r>
        <w:t xml:space="preserve">362(o), </w:t>
      </w:r>
      <w:r>
        <w:rPr>
          <w:strike/>
          <w:u w:color="FF0000"/>
        </w:rPr>
        <w:t>§</w:t>
      </w:r>
      <w:r>
        <w:t xml:space="preserve">546(e), </w:t>
      </w:r>
      <w:r>
        <w:rPr>
          <w:strike/>
          <w:u w:color="FF0000"/>
        </w:rPr>
        <w:t>§</w:t>
      </w:r>
      <w:r>
        <w:t xml:space="preserve">548(d)(2), </w:t>
      </w:r>
      <w:r>
        <w:rPr>
          <w:strike/>
          <w:u w:color="FF0000"/>
        </w:rPr>
        <w:t>§</w:t>
      </w:r>
      <w:r>
        <w:t xml:space="preserve">556, </w:t>
      </w:r>
      <w:r>
        <w:rPr>
          <w:strike/>
          <w:u w:color="FF0000"/>
        </w:rPr>
        <w:t>§</w:t>
      </w:r>
      <w:r>
        <w:t xml:space="preserve">560 and </w:t>
      </w:r>
      <w:r>
        <w:rPr>
          <w:strike/>
          <w:u w:color="FF0000"/>
        </w:rPr>
        <w:t>§</w:t>
      </w:r>
      <w:r>
        <w:t>561, as they may be amended, superseded or replaced from time to time.</w:t>
      </w:r>
      <w:bookmarkEnd w:id="392"/>
      <w:bookmarkEnd w:id="393"/>
      <w:r>
        <w:t xml:space="preserve"> </w:t>
      </w:r>
    </w:p>
    <w:p w14:paraId="3A4FCC86" w14:textId="08891A59" w:rsidR="00B63F33" w:rsidRDefault="00B63F33" w:rsidP="00172ED0">
      <w:pPr>
        <w:pStyle w:val="ArticleL2"/>
      </w:pPr>
      <w:bookmarkStart w:id="395" w:name="_Toc147494888"/>
      <w:bookmarkStart w:id="396" w:name="_Toc433954015"/>
      <w:bookmarkStart w:id="397" w:name="_Toc433954173"/>
      <w:r w:rsidRPr="00172ED0">
        <w:rPr>
          <w:rStyle w:val="ArticleL2UnderlineChar"/>
        </w:rPr>
        <w:t>Cumulative Remedies</w:t>
      </w:r>
      <w:bookmarkEnd w:id="395"/>
      <w:r>
        <w:t>.  Except as explicitly provided to the contrary in this PPA, each right or remedy of the Parties provided for in this PPA shall be cumulative of and shall be in addition to every other right or remedy provided for in this PPA, and the exercise of one or more or the rights or remedies provided for herein shall not preclude the simultaneous or later exercise by such Party of any other rights or remedies provided for herein</w:t>
      </w:r>
      <w:bookmarkEnd w:id="396"/>
      <w:bookmarkEnd w:id="397"/>
    </w:p>
    <w:p w14:paraId="3F77C472" w14:textId="6A6222DD" w:rsidR="00B63F33" w:rsidRDefault="00B63F33" w:rsidP="00172ED0">
      <w:pPr>
        <w:pStyle w:val="ArticleL2"/>
        <w:keepNext w:val="0"/>
      </w:pPr>
      <w:bookmarkStart w:id="398" w:name="_Toc147494889"/>
      <w:bookmarkStart w:id="399" w:name="_Toc433954016"/>
      <w:bookmarkStart w:id="400" w:name="_Toc433954174"/>
      <w:r w:rsidRPr="00172ED0">
        <w:rPr>
          <w:rStyle w:val="ArticleL2UnderlineChar"/>
        </w:rPr>
        <w:t>Duty to Mitigate</w:t>
      </w:r>
      <w:bookmarkEnd w:id="398"/>
      <w:r>
        <w:t xml:space="preserve">.  Each Party shall use Commercially Reasonable Efforts to mitigate any damages it may incur </w:t>
      </w:r>
      <w:proofErr w:type="gramStart"/>
      <w:r>
        <w:t>as a result of</w:t>
      </w:r>
      <w:proofErr w:type="gramEnd"/>
      <w:r>
        <w:t xml:space="preserve"> a default by the other Party under this PPA.</w:t>
      </w:r>
      <w:bookmarkEnd w:id="394"/>
      <w:bookmarkEnd w:id="399"/>
      <w:bookmarkEnd w:id="400"/>
    </w:p>
    <w:p w14:paraId="70B82460" w14:textId="0881CC6E" w:rsidR="00B63F33" w:rsidRDefault="00B63F33" w:rsidP="002B7809">
      <w:pPr>
        <w:pStyle w:val="ArticleL1"/>
      </w:pPr>
      <w:bookmarkStart w:id="401" w:name="_Toc433954017"/>
      <w:bookmarkStart w:id="402" w:name="_Toc433954175"/>
      <w:bookmarkStart w:id="403" w:name="_Toc147494890"/>
      <w:bookmarkStart w:id="404" w:name="_Ref149742838"/>
      <w:r>
        <w:lastRenderedPageBreak/>
        <w:t>Dispute Resolution</w:t>
      </w:r>
      <w:bookmarkStart w:id="405" w:name="_Toc288027286"/>
      <w:bookmarkEnd w:id="401"/>
      <w:bookmarkEnd w:id="402"/>
      <w:bookmarkEnd w:id="403"/>
      <w:bookmarkEnd w:id="404"/>
    </w:p>
    <w:p w14:paraId="63586458" w14:textId="768C472A" w:rsidR="00B63F33" w:rsidRDefault="00B63F33" w:rsidP="002B7809">
      <w:pPr>
        <w:pStyle w:val="ArticleL2"/>
      </w:pPr>
      <w:bookmarkStart w:id="406" w:name="_Toc147494891"/>
      <w:bookmarkStart w:id="407" w:name="_Toc433954018"/>
      <w:bookmarkStart w:id="408" w:name="_Toc433954176"/>
      <w:bookmarkStart w:id="409" w:name="_Ref149743363"/>
      <w:bookmarkStart w:id="410" w:name="_Ref149744694"/>
      <w:bookmarkStart w:id="411" w:name="_Ref149744700"/>
      <w:bookmarkStart w:id="412" w:name="_Ref149744708"/>
      <w:r w:rsidRPr="00CD3934">
        <w:rPr>
          <w:rStyle w:val="ArticleL2UnderlineChar"/>
        </w:rPr>
        <w:t>Negotiation</w:t>
      </w:r>
      <w:bookmarkEnd w:id="406"/>
      <w:r>
        <w:t>.</w:t>
      </w:r>
      <w:bookmarkEnd w:id="407"/>
      <w:bookmarkEnd w:id="408"/>
      <w:bookmarkEnd w:id="409"/>
      <w:bookmarkEnd w:id="410"/>
      <w:bookmarkEnd w:id="411"/>
      <w:bookmarkEnd w:id="412"/>
      <w:r>
        <w:t xml:space="preserve"> </w:t>
      </w:r>
    </w:p>
    <w:p w14:paraId="510E6C58" w14:textId="506EBB6C" w:rsidR="00B63F33" w:rsidRDefault="00B63F33" w:rsidP="002B7809">
      <w:pPr>
        <w:pStyle w:val="ArticleL3"/>
      </w:pPr>
      <w:bookmarkStart w:id="413" w:name="_Ref149809862"/>
      <w:r>
        <w:t>In the event of any dispute arising under or associated with the Parties’ performance of this PPA (a “</w:t>
      </w:r>
      <w:r>
        <w:rPr>
          <w:u w:val="single"/>
        </w:rPr>
        <w:t>Dispute</w:t>
      </w:r>
      <w:r>
        <w:t>”), within ten (10) Business Days following notice by either Party (a “</w:t>
      </w:r>
      <w:r>
        <w:rPr>
          <w:u w:val="single"/>
        </w:rPr>
        <w:t>Dispute Notice</w:t>
      </w:r>
      <w:r>
        <w:t>”), (i) each Party shall appoint a representative, and (ii) the representatives shall meet, negotiate and attempt in good faith to resolve the Dispute quickly, informally and inexpensively.</w:t>
      </w:r>
      <w:bookmarkEnd w:id="413"/>
      <w:r>
        <w:t xml:space="preserve"> </w:t>
      </w:r>
    </w:p>
    <w:p w14:paraId="315F46C8" w14:textId="15A8607A" w:rsidR="00B63F33" w:rsidRDefault="00B63F33" w:rsidP="002B7809">
      <w:pPr>
        <w:pStyle w:val="ArticleL3"/>
      </w:pPr>
      <w:r>
        <w:t>In the event the Parties’ representatives cannot resolve the Dispute</w:t>
      </w:r>
      <w:r w:rsidR="00E82A47">
        <w:t xml:space="preserve"> </w:t>
      </w:r>
      <w:r>
        <w:t xml:space="preserve">within thirty (30) Days after the first meeting, either Party may request that consideration and resolution of the Dispute be transferred to senior management.  Within ten (10) Days following such a request, each Party shall submit a written summary of the Dispute describing the issues and claims to a senior officer of each Party designated to address the Dispute.  Within ten (10) Business Days after receipt of each Party’s Dispute summaries, the designated senior managers for both Parties shall negotiate in good faith to resolve the Dispute.  If such senior managers are unable to resolve the Dispute thereafter, either Party may seek available legal remedies, subject to </w:t>
      </w:r>
      <w:r>
        <w:rPr>
          <w:u w:val="single"/>
        </w:rPr>
        <w:t xml:space="preserve">Sections </w:t>
      </w:r>
      <w:r w:rsidR="00987470">
        <w:rPr>
          <w:u w:val="single"/>
        </w:rPr>
        <w:fldChar w:fldCharType="begin"/>
      </w:r>
      <w:r w:rsidR="00987470">
        <w:rPr>
          <w:u w:val="single"/>
        </w:rPr>
        <w:instrText xml:space="preserve"> REF _Ref149744117 \w \h </w:instrText>
      </w:r>
      <w:r w:rsidR="00987470">
        <w:rPr>
          <w:u w:val="single"/>
        </w:rPr>
      </w:r>
      <w:r w:rsidR="00987470">
        <w:rPr>
          <w:u w:val="single"/>
        </w:rPr>
        <w:fldChar w:fldCharType="separate"/>
      </w:r>
      <w:r w:rsidR="00987470">
        <w:rPr>
          <w:u w:val="single"/>
        </w:rPr>
        <w:t>13.3</w:t>
      </w:r>
      <w:r w:rsidR="00987470">
        <w:rPr>
          <w:u w:val="single"/>
        </w:rPr>
        <w:fldChar w:fldCharType="end"/>
      </w:r>
      <w:r w:rsidR="00773B62">
        <w:t>,</w:t>
      </w:r>
      <w:r>
        <w:t xml:space="preserve"> </w:t>
      </w:r>
      <w:r w:rsidR="00987470" w:rsidRPr="00773B62">
        <w:rPr>
          <w:u w:val="single"/>
        </w:rPr>
        <w:fldChar w:fldCharType="begin"/>
      </w:r>
      <w:r w:rsidR="00987470" w:rsidRPr="00773B62">
        <w:rPr>
          <w:u w:val="single"/>
        </w:rPr>
        <w:instrText xml:space="preserve"> REF _Hlk48743701 \w \h </w:instrText>
      </w:r>
      <w:r w:rsidR="00773B62" w:rsidRPr="00773B62">
        <w:rPr>
          <w:u w:val="single"/>
        </w:rPr>
        <w:instrText xml:space="preserve"> \* MERGEFORMAT </w:instrText>
      </w:r>
      <w:r w:rsidR="00987470" w:rsidRPr="00773B62">
        <w:rPr>
          <w:u w:val="single"/>
        </w:rPr>
      </w:r>
      <w:r w:rsidR="00987470" w:rsidRPr="00773B62">
        <w:rPr>
          <w:u w:val="single"/>
        </w:rPr>
        <w:fldChar w:fldCharType="separate"/>
      </w:r>
      <w:r w:rsidR="00987470" w:rsidRPr="00773B62">
        <w:rPr>
          <w:u w:val="single"/>
        </w:rPr>
        <w:t>19.3</w:t>
      </w:r>
      <w:r w:rsidR="00987470" w:rsidRPr="00773B62">
        <w:rPr>
          <w:u w:val="single"/>
        </w:rPr>
        <w:fldChar w:fldCharType="end"/>
      </w:r>
      <w:r w:rsidR="00773B62">
        <w:t xml:space="preserve">, </w:t>
      </w:r>
      <w:r w:rsidRPr="00E45A86">
        <w:t xml:space="preserve">and </w:t>
      </w:r>
      <w:r w:rsidR="00987470" w:rsidRPr="00E45A86">
        <w:rPr>
          <w:u w:val="single"/>
        </w:rPr>
        <w:fldChar w:fldCharType="begin"/>
      </w:r>
      <w:r w:rsidR="00987470" w:rsidRPr="00E45A86">
        <w:rPr>
          <w:u w:val="single"/>
        </w:rPr>
        <w:instrText xml:space="preserve"> REF _Ref149744141 \w \h </w:instrText>
      </w:r>
      <w:r w:rsidR="00773B62" w:rsidRPr="00E45A86">
        <w:rPr>
          <w:u w:val="single"/>
        </w:rPr>
        <w:instrText xml:space="preserve"> \* MERGEFORMAT </w:instrText>
      </w:r>
      <w:r w:rsidR="00987470" w:rsidRPr="00E45A86">
        <w:rPr>
          <w:u w:val="single"/>
        </w:rPr>
      </w:r>
      <w:r w:rsidR="00987470" w:rsidRPr="00E45A86">
        <w:rPr>
          <w:u w:val="single"/>
        </w:rPr>
        <w:fldChar w:fldCharType="separate"/>
      </w:r>
      <w:r w:rsidR="00987470" w:rsidRPr="00E45A86">
        <w:rPr>
          <w:u w:val="single"/>
        </w:rPr>
        <w:t>19.5</w:t>
      </w:r>
      <w:r w:rsidR="00987470" w:rsidRPr="00E45A86">
        <w:rPr>
          <w:u w:val="single"/>
        </w:rPr>
        <w:fldChar w:fldCharType="end"/>
      </w:r>
      <w:r w:rsidR="00773B62" w:rsidRPr="00E45A86">
        <w:t>.</w:t>
      </w:r>
    </w:p>
    <w:p w14:paraId="2A308FFB" w14:textId="4D425089" w:rsidR="00B63F33" w:rsidRDefault="00B63F33" w:rsidP="00CD3934">
      <w:pPr>
        <w:pStyle w:val="ArticleL2"/>
      </w:pPr>
      <w:bookmarkStart w:id="414" w:name="_Toc147494892"/>
      <w:bookmarkStart w:id="415" w:name="_Toc433954019"/>
      <w:bookmarkStart w:id="416" w:name="_Toc433954177"/>
      <w:r w:rsidRPr="00CD3934">
        <w:rPr>
          <w:rStyle w:val="ArticleL2UnderlineChar"/>
        </w:rPr>
        <w:t>Time Bar</w:t>
      </w:r>
      <w:bookmarkEnd w:id="414"/>
      <w:r>
        <w:t>.  If no Dispute Notice has been issued within eighteen (18) months following the occurrence of events or circumstances giving rise to the Dispute (regardless of the actual knowledge of either Party of such events and circumstances), all claims related to such Dispute (including any allegations of billing errors) shall be deemed waived and the aggrieved Party shall thereafter be barred from proceeding thereon.</w:t>
      </w:r>
      <w:bookmarkEnd w:id="415"/>
      <w:bookmarkEnd w:id="416"/>
      <w:r>
        <w:t xml:space="preserve"> </w:t>
      </w:r>
    </w:p>
    <w:p w14:paraId="24106348" w14:textId="65D6A9F9" w:rsidR="00B63F33" w:rsidRDefault="00B63F33" w:rsidP="002B7809">
      <w:pPr>
        <w:pStyle w:val="ArticleL2"/>
      </w:pPr>
      <w:bookmarkStart w:id="417" w:name="_Toc147494893"/>
      <w:bookmarkStart w:id="418" w:name="_Toc433954020"/>
      <w:bookmarkStart w:id="419" w:name="_Toc433954178"/>
      <w:bookmarkStart w:id="420" w:name="_Ref149743569"/>
      <w:bookmarkStart w:id="421" w:name="_Ref149744000"/>
      <w:bookmarkStart w:id="422" w:name="_Ref149744117"/>
      <w:r w:rsidRPr="00CD3934">
        <w:rPr>
          <w:rStyle w:val="ArticleL2UnderlineChar"/>
        </w:rPr>
        <w:t>No Termination Pending Dispute Resolution</w:t>
      </w:r>
      <w:bookmarkEnd w:id="417"/>
      <w:r>
        <w:t xml:space="preserve">.  Notwithstanding </w:t>
      </w:r>
      <w:r>
        <w:rPr>
          <w:u w:val="single"/>
        </w:rPr>
        <w:t xml:space="preserve">Section </w:t>
      </w:r>
      <w:r w:rsidR="00B7368C">
        <w:rPr>
          <w:u w:val="single"/>
        </w:rPr>
        <w:fldChar w:fldCharType="begin"/>
      </w:r>
      <w:r w:rsidR="00B7368C">
        <w:rPr>
          <w:u w:val="single"/>
        </w:rPr>
        <w:instrText xml:space="preserve"> REF _Ref149744675 \w \h </w:instrText>
      </w:r>
      <w:r w:rsidR="00B7368C">
        <w:rPr>
          <w:u w:val="single"/>
        </w:rPr>
      </w:r>
      <w:r w:rsidR="00B7368C">
        <w:rPr>
          <w:u w:val="single"/>
        </w:rPr>
        <w:fldChar w:fldCharType="separate"/>
      </w:r>
      <w:r w:rsidR="00B7368C">
        <w:rPr>
          <w:u w:val="single"/>
        </w:rPr>
        <w:t>12.1</w:t>
      </w:r>
      <w:r w:rsidR="00B7368C">
        <w:rPr>
          <w:u w:val="single"/>
        </w:rPr>
        <w:fldChar w:fldCharType="end"/>
      </w:r>
      <w:r>
        <w:t xml:space="preserve"> or </w:t>
      </w:r>
      <w:r>
        <w:rPr>
          <w:u w:val="single"/>
        </w:rPr>
        <w:t xml:space="preserve">Section </w:t>
      </w:r>
      <w:r w:rsidR="00B7368C">
        <w:rPr>
          <w:u w:val="single"/>
        </w:rPr>
        <w:fldChar w:fldCharType="begin"/>
      </w:r>
      <w:r w:rsidR="00B7368C">
        <w:rPr>
          <w:u w:val="single"/>
        </w:rPr>
        <w:instrText xml:space="preserve"> REF _Ref149744684 \w \h </w:instrText>
      </w:r>
      <w:r w:rsidR="00B7368C">
        <w:rPr>
          <w:u w:val="single"/>
        </w:rPr>
      </w:r>
      <w:r w:rsidR="00B7368C">
        <w:rPr>
          <w:u w:val="single"/>
        </w:rPr>
        <w:fldChar w:fldCharType="separate"/>
      </w:r>
      <w:r w:rsidR="00B7368C">
        <w:rPr>
          <w:u w:val="single"/>
        </w:rPr>
        <w:t>12.3</w:t>
      </w:r>
      <w:r w:rsidR="00B7368C">
        <w:rPr>
          <w:u w:val="single"/>
        </w:rPr>
        <w:fldChar w:fldCharType="end"/>
      </w:r>
      <w:r>
        <w:t xml:space="preserve"> to the contrary:</w:t>
      </w:r>
      <w:bookmarkEnd w:id="418"/>
      <w:bookmarkEnd w:id="419"/>
      <w:bookmarkEnd w:id="420"/>
      <w:bookmarkEnd w:id="421"/>
      <w:bookmarkEnd w:id="422"/>
      <w:r>
        <w:t xml:space="preserve"> </w:t>
      </w:r>
    </w:p>
    <w:p w14:paraId="23BD857E" w14:textId="77439AAF" w:rsidR="00B63F33" w:rsidRDefault="00B63F33" w:rsidP="002B7809">
      <w:pPr>
        <w:pStyle w:val="ArticleL3"/>
      </w:pPr>
      <w:r>
        <w:t xml:space="preserve">An Event of Default shall not be deemed to have occurred (and hence neither Party may terminate this PPA) for failure by the other Party to pay any amount(s) allegedly due totaling less than $100,000, if (1) such amount(s) are disputed in good faith, (2) the Party alleged to owe such amount(s) promptly commences and diligently pursues resolution of the Dispute pursuant to </w:t>
      </w:r>
      <w:r>
        <w:rPr>
          <w:u w:val="single"/>
        </w:rPr>
        <w:t xml:space="preserve">Section </w:t>
      </w:r>
      <w:r w:rsidR="00B7368C">
        <w:rPr>
          <w:u w:val="single"/>
        </w:rPr>
        <w:fldChar w:fldCharType="begin"/>
      </w:r>
      <w:r w:rsidR="00B7368C">
        <w:rPr>
          <w:u w:val="single"/>
        </w:rPr>
        <w:instrText xml:space="preserve"> REF _Ref149744694 \w \h </w:instrText>
      </w:r>
      <w:r w:rsidR="00B7368C">
        <w:rPr>
          <w:u w:val="single"/>
        </w:rPr>
      </w:r>
      <w:r w:rsidR="00B7368C">
        <w:rPr>
          <w:u w:val="single"/>
        </w:rPr>
        <w:fldChar w:fldCharType="separate"/>
      </w:r>
      <w:r w:rsidR="00B7368C">
        <w:rPr>
          <w:u w:val="single"/>
        </w:rPr>
        <w:t>13.1</w:t>
      </w:r>
      <w:r w:rsidR="00B7368C">
        <w:rPr>
          <w:u w:val="single"/>
        </w:rPr>
        <w:fldChar w:fldCharType="end"/>
      </w:r>
      <w:r>
        <w:t>, and (3) the owed amount (if any) is paid within ten (10) Business Days after all dispute resolution mechanisms are completed with respect thereto.</w:t>
      </w:r>
    </w:p>
    <w:p w14:paraId="38B6FF6D" w14:textId="1DA5CC95" w:rsidR="00B63F33" w:rsidRDefault="00B63F33" w:rsidP="002B7809">
      <w:pPr>
        <w:pStyle w:val="ArticleL3"/>
      </w:pPr>
      <w:r>
        <w:t xml:space="preserve">An Event of Default by Seller shall not be deemed to have occurred (and hence Company may not terminate this PPA) for failure by Seller to pay any amount(s) allegedly due totaling $100,000 or more, if: </w:t>
      </w:r>
    </w:p>
    <w:p w14:paraId="5F71CB77" w14:textId="77777777" w:rsidR="00B63F33" w:rsidRDefault="00B63F33" w:rsidP="002B7809">
      <w:pPr>
        <w:pStyle w:val="ArticleL4"/>
      </w:pPr>
      <w:r>
        <w:t xml:space="preserve">such amount(s) are disputed by Seller in good </w:t>
      </w:r>
      <w:proofErr w:type="gramStart"/>
      <w:r>
        <w:t>faith;</w:t>
      </w:r>
      <w:proofErr w:type="gramEnd"/>
    </w:p>
    <w:p w14:paraId="2B979063" w14:textId="7792149F" w:rsidR="00B63F33" w:rsidRDefault="00B63F33" w:rsidP="002B7809">
      <w:pPr>
        <w:pStyle w:val="ArticleL4"/>
      </w:pPr>
      <w:r>
        <w:t xml:space="preserve">Seller promptly </w:t>
      </w:r>
      <w:proofErr w:type="gramStart"/>
      <w:r>
        <w:t>commences</w:t>
      </w:r>
      <w:proofErr w:type="gramEnd"/>
      <w:r>
        <w:t xml:space="preserve"> and diligently pursues resolution of the Dispute pursuant to </w:t>
      </w:r>
      <w:r>
        <w:rPr>
          <w:u w:val="single"/>
        </w:rPr>
        <w:t xml:space="preserve">Section </w:t>
      </w:r>
      <w:r w:rsidR="00B7368C">
        <w:rPr>
          <w:u w:val="single"/>
        </w:rPr>
        <w:fldChar w:fldCharType="begin"/>
      </w:r>
      <w:r w:rsidR="00B7368C">
        <w:rPr>
          <w:u w:val="single"/>
        </w:rPr>
        <w:instrText xml:space="preserve"> REF _Ref149744700 \w \h </w:instrText>
      </w:r>
      <w:r w:rsidR="00B7368C">
        <w:rPr>
          <w:u w:val="single"/>
        </w:rPr>
      </w:r>
      <w:r w:rsidR="00B7368C">
        <w:rPr>
          <w:u w:val="single"/>
        </w:rPr>
        <w:fldChar w:fldCharType="separate"/>
      </w:r>
      <w:r w:rsidR="00B7368C">
        <w:rPr>
          <w:u w:val="single"/>
        </w:rPr>
        <w:t>13.1</w:t>
      </w:r>
      <w:r w:rsidR="00B7368C">
        <w:rPr>
          <w:u w:val="single"/>
        </w:rPr>
        <w:fldChar w:fldCharType="end"/>
      </w:r>
      <w:r>
        <w:t xml:space="preserve">; </w:t>
      </w:r>
    </w:p>
    <w:p w14:paraId="708AFEFA" w14:textId="1BE7A5BA" w:rsidR="00B63F33" w:rsidRDefault="00B63F33" w:rsidP="002B7809">
      <w:pPr>
        <w:pStyle w:val="ArticleL4"/>
      </w:pPr>
      <w:r>
        <w:t xml:space="preserve">Seller either holds an Investment Grade Credit Rating, or posts cash collateral to secure its obligations (if any) with respect to the disputed amount(s), in an amount equal to the amount(s) in dispute, under a mutually </w:t>
      </w:r>
      <w:r>
        <w:lastRenderedPageBreak/>
        <w:t xml:space="preserve">agreeable third-party escrow and account control agreement, in addition to the Security </w:t>
      </w:r>
      <w:r w:rsidR="00682953">
        <w:t>Fund; and</w:t>
      </w:r>
    </w:p>
    <w:p w14:paraId="1F64B4EF" w14:textId="77777777" w:rsidR="00B63F33" w:rsidRDefault="00B63F33" w:rsidP="002B7809">
      <w:pPr>
        <w:pStyle w:val="ArticleL4"/>
      </w:pPr>
      <w:r>
        <w:t>the owed amount (if any) is paid by Seller within ten (10) Business Days after all dispute resolution mechanisms are completed with respect thereto.</w:t>
      </w:r>
    </w:p>
    <w:p w14:paraId="757DEEE4" w14:textId="77777777" w:rsidR="00B63F33" w:rsidRDefault="00B63F33" w:rsidP="002B7809">
      <w:pPr>
        <w:pStyle w:val="ArticleL3"/>
      </w:pPr>
      <w:r>
        <w:t xml:space="preserve">An Event of Default by Company shall not be deemed to have occurred (and hence Seller may not terminate this PPA) for failure by Company to pay any amount(s) allegedly due totaling $100,000 or more, </w:t>
      </w:r>
      <w:proofErr w:type="gramStart"/>
      <w:r>
        <w:t>if</w:t>
      </w:r>
      <w:proofErr w:type="gramEnd"/>
      <w:r>
        <w:t xml:space="preserve"> </w:t>
      </w:r>
    </w:p>
    <w:p w14:paraId="7B429843" w14:textId="77777777" w:rsidR="00B63F33" w:rsidRDefault="00B63F33" w:rsidP="002B7809">
      <w:pPr>
        <w:pStyle w:val="ArticleL4"/>
      </w:pPr>
      <w:r>
        <w:t xml:space="preserve">such amount(s) are disputed by Company in good </w:t>
      </w:r>
      <w:proofErr w:type="gramStart"/>
      <w:r>
        <w:t>faith;</w:t>
      </w:r>
      <w:proofErr w:type="gramEnd"/>
    </w:p>
    <w:p w14:paraId="44D830DC" w14:textId="3A2E0B14" w:rsidR="00B63F33" w:rsidRDefault="00B63F33" w:rsidP="002B7809">
      <w:pPr>
        <w:pStyle w:val="ArticleL4"/>
      </w:pPr>
      <w:r>
        <w:t xml:space="preserve">Company promptly </w:t>
      </w:r>
      <w:proofErr w:type="gramStart"/>
      <w:r>
        <w:t>commences</w:t>
      </w:r>
      <w:proofErr w:type="gramEnd"/>
      <w:r>
        <w:t xml:space="preserve"> and diligently pursues resolution of the Dispute pursuant to </w:t>
      </w:r>
      <w:r>
        <w:rPr>
          <w:u w:val="single"/>
        </w:rPr>
        <w:t xml:space="preserve">Section </w:t>
      </w:r>
      <w:r w:rsidR="00B7368C">
        <w:rPr>
          <w:u w:val="single"/>
        </w:rPr>
        <w:fldChar w:fldCharType="begin"/>
      </w:r>
      <w:r w:rsidR="00B7368C">
        <w:rPr>
          <w:u w:val="single"/>
        </w:rPr>
        <w:instrText xml:space="preserve"> REF _Ref149744708 \w \h </w:instrText>
      </w:r>
      <w:r w:rsidR="00B7368C">
        <w:rPr>
          <w:u w:val="single"/>
        </w:rPr>
      </w:r>
      <w:r w:rsidR="00B7368C">
        <w:rPr>
          <w:u w:val="single"/>
        </w:rPr>
        <w:fldChar w:fldCharType="separate"/>
      </w:r>
      <w:r w:rsidR="00B7368C">
        <w:rPr>
          <w:u w:val="single"/>
        </w:rPr>
        <w:t>13.1</w:t>
      </w:r>
      <w:r w:rsidR="00B7368C">
        <w:rPr>
          <w:u w:val="single"/>
        </w:rPr>
        <w:fldChar w:fldCharType="end"/>
      </w:r>
      <w:r>
        <w:t xml:space="preserve">; </w:t>
      </w:r>
    </w:p>
    <w:p w14:paraId="34D73EC4" w14:textId="136BC6B9" w:rsidR="00B63F33" w:rsidRDefault="00B63F33" w:rsidP="002B7809">
      <w:pPr>
        <w:pStyle w:val="ArticleL4"/>
      </w:pPr>
      <w:r>
        <w:t>Company either holds an Investment Grade Credit Rating, or posts cash collateral to secure its obligations (if any) with respect to the disputed amount(s), in an amount equal to the amount(s) in dispute, under a mutually agreeable third-party escrow and account control agreement; and</w:t>
      </w:r>
    </w:p>
    <w:p w14:paraId="408FACAF" w14:textId="77777777" w:rsidR="00B63F33" w:rsidRDefault="00B63F33" w:rsidP="002B7809">
      <w:pPr>
        <w:pStyle w:val="ArticleL4"/>
      </w:pPr>
      <w:r>
        <w:t>the owed amount (if any) is paid by Company within ten (10) Business Days after all dispute resolution mechanisms are completed with respect thereto.</w:t>
      </w:r>
    </w:p>
    <w:p w14:paraId="5D8E544C" w14:textId="7727AE9C" w:rsidR="00B63F33" w:rsidRPr="00666E95" w:rsidRDefault="00B63F33" w:rsidP="00CD3934">
      <w:pPr>
        <w:pStyle w:val="ArticleL2"/>
      </w:pPr>
      <w:bookmarkStart w:id="423" w:name="_Toc147494894"/>
      <w:bookmarkStart w:id="424" w:name="_Toc433954021"/>
      <w:bookmarkStart w:id="425" w:name="_Toc433954179"/>
      <w:r w:rsidRPr="00CD3934">
        <w:rPr>
          <w:rStyle w:val="ArticleL2UnderlineChar"/>
        </w:rPr>
        <w:t>Governing Law</w:t>
      </w:r>
      <w:bookmarkEnd w:id="423"/>
      <w:r>
        <w:t xml:space="preserve">.  The interpretation and performance of this PPA and all actions related hereto (whether sounding in contract, </w:t>
      </w:r>
      <w:r w:rsidRPr="00666E95">
        <w:t>tort or otherwise), shall be governed and construed in accordance with the laws of the State of [</w:t>
      </w:r>
      <w:r w:rsidRPr="00666E95">
        <w:rPr>
          <w:i/>
          <w:highlight w:val="yellow"/>
        </w:rPr>
        <w:t>insert state where Facility is located</w:t>
      </w:r>
      <w:r w:rsidRPr="00666E95">
        <w:t>], exclusive of conflict of laws principles.</w:t>
      </w:r>
      <w:bookmarkEnd w:id="424"/>
      <w:bookmarkEnd w:id="425"/>
      <w:r w:rsidRPr="00666E95">
        <w:t xml:space="preserve">  </w:t>
      </w:r>
    </w:p>
    <w:p w14:paraId="77E03852" w14:textId="7197D8DE" w:rsidR="00DB646C" w:rsidRPr="00666E95" w:rsidRDefault="00B63F33" w:rsidP="00CD3934">
      <w:pPr>
        <w:pStyle w:val="ArticleL2"/>
      </w:pPr>
      <w:bookmarkStart w:id="426" w:name="_Toc147494895"/>
      <w:bookmarkStart w:id="427" w:name="_Toc433954022"/>
      <w:bookmarkStart w:id="428" w:name="_Toc433954180"/>
      <w:bookmarkStart w:id="429" w:name="_Ref149811907"/>
      <w:r w:rsidRPr="00666E95">
        <w:rPr>
          <w:rStyle w:val="ArticleL2UnderlineChar"/>
        </w:rPr>
        <w:t>Venue</w:t>
      </w:r>
      <w:bookmarkEnd w:id="426"/>
      <w:r w:rsidRPr="00666E95">
        <w:t>.  The Parties submit to the exclusive jurisdiction of the state courts of the State of [</w:t>
      </w:r>
      <w:r w:rsidRPr="00666E95">
        <w:rPr>
          <w:i/>
          <w:highlight w:val="yellow"/>
        </w:rPr>
        <w:t>insert OpCo home state</w:t>
      </w:r>
      <w:r w:rsidRPr="00666E95">
        <w:t xml:space="preserve">] for purposes of resolving any Dispute hereunder, except as provided in </w:t>
      </w:r>
      <w:r w:rsidRPr="00666E95">
        <w:rPr>
          <w:u w:val="single"/>
        </w:rPr>
        <w:t xml:space="preserve">Sections </w:t>
      </w:r>
      <w:r w:rsidR="00B7368C" w:rsidRPr="00666E95">
        <w:rPr>
          <w:u w:val="single"/>
        </w:rPr>
        <w:fldChar w:fldCharType="begin"/>
      </w:r>
      <w:r w:rsidR="00B7368C" w:rsidRPr="00666E95">
        <w:rPr>
          <w:u w:val="single"/>
        </w:rPr>
        <w:instrText xml:space="preserve"> REF _Ref149742791 \w \h </w:instrText>
      </w:r>
      <w:r w:rsidR="00B7368C" w:rsidRPr="00666E95">
        <w:rPr>
          <w:u w:val="single"/>
        </w:rPr>
      </w:r>
      <w:r w:rsidR="00B7368C" w:rsidRPr="00666E95">
        <w:rPr>
          <w:u w:val="single"/>
        </w:rPr>
        <w:fldChar w:fldCharType="separate"/>
      </w:r>
      <w:r w:rsidR="00B7368C" w:rsidRPr="00666E95">
        <w:rPr>
          <w:u w:val="single"/>
        </w:rPr>
        <w:t>12.1(E)</w:t>
      </w:r>
      <w:r w:rsidR="00B7368C" w:rsidRPr="00666E95">
        <w:rPr>
          <w:u w:val="single"/>
        </w:rPr>
        <w:fldChar w:fldCharType="end"/>
      </w:r>
      <w:r w:rsidRPr="00666E95">
        <w:rPr>
          <w:u w:val="single"/>
        </w:rPr>
        <w:t xml:space="preserve">, </w:t>
      </w:r>
      <w:r w:rsidR="00B7368C" w:rsidRPr="00666E95">
        <w:rPr>
          <w:u w:val="single"/>
        </w:rPr>
        <w:fldChar w:fldCharType="begin"/>
      </w:r>
      <w:r w:rsidR="00B7368C" w:rsidRPr="00666E95">
        <w:rPr>
          <w:u w:val="single"/>
        </w:rPr>
        <w:instrText xml:space="preserve"> REF _Hlk48743701 \w \h </w:instrText>
      </w:r>
      <w:r w:rsidR="00B7368C" w:rsidRPr="00666E95">
        <w:rPr>
          <w:u w:val="single"/>
        </w:rPr>
      </w:r>
      <w:r w:rsidR="00B7368C" w:rsidRPr="00666E95">
        <w:rPr>
          <w:u w:val="single"/>
        </w:rPr>
        <w:fldChar w:fldCharType="separate"/>
      </w:r>
      <w:r w:rsidR="00B7368C" w:rsidRPr="00666E95">
        <w:rPr>
          <w:u w:val="single"/>
        </w:rPr>
        <w:t>19.3</w:t>
      </w:r>
      <w:r w:rsidR="00B7368C" w:rsidRPr="00666E95">
        <w:rPr>
          <w:u w:val="single"/>
        </w:rPr>
        <w:fldChar w:fldCharType="end"/>
      </w:r>
      <w:r w:rsidRPr="00666E95">
        <w:t xml:space="preserve"> </w:t>
      </w:r>
      <w:r w:rsidRPr="00682953">
        <w:t xml:space="preserve">and </w:t>
      </w:r>
      <w:r w:rsidRPr="00682953">
        <w:rPr>
          <w:u w:val="single"/>
        </w:rPr>
        <w:t xml:space="preserve">Section </w:t>
      </w:r>
      <w:r w:rsidR="00B7368C" w:rsidRPr="00682953">
        <w:rPr>
          <w:u w:val="single"/>
        </w:rPr>
        <w:fldChar w:fldCharType="begin"/>
      </w:r>
      <w:r w:rsidR="00B7368C" w:rsidRPr="00682953">
        <w:rPr>
          <w:u w:val="single"/>
        </w:rPr>
        <w:instrText xml:space="preserve"> REF _Ref149744141 \w \h </w:instrText>
      </w:r>
      <w:r w:rsidR="00682953">
        <w:rPr>
          <w:u w:val="single"/>
        </w:rPr>
        <w:instrText xml:space="preserve"> \* MERGEFORMAT </w:instrText>
      </w:r>
      <w:r w:rsidR="00B7368C" w:rsidRPr="00682953">
        <w:rPr>
          <w:u w:val="single"/>
        </w:rPr>
      </w:r>
      <w:r w:rsidR="00B7368C" w:rsidRPr="00682953">
        <w:rPr>
          <w:u w:val="single"/>
        </w:rPr>
        <w:fldChar w:fldCharType="separate"/>
      </w:r>
      <w:r w:rsidR="00B7368C" w:rsidRPr="00682953">
        <w:rPr>
          <w:u w:val="single"/>
        </w:rPr>
        <w:t>19.5</w:t>
      </w:r>
      <w:r w:rsidR="00B7368C" w:rsidRPr="00682953">
        <w:rPr>
          <w:u w:val="single"/>
        </w:rPr>
        <w:fldChar w:fldCharType="end"/>
      </w:r>
      <w:r w:rsidRPr="00666E95">
        <w:t>.  Venue for any court proceedings shall lie exclusively in</w:t>
      </w:r>
      <w:bookmarkEnd w:id="427"/>
      <w:bookmarkEnd w:id="428"/>
      <w:bookmarkEnd w:id="429"/>
      <w:r w:rsidRPr="00666E95">
        <w:t xml:space="preserve"> </w:t>
      </w:r>
    </w:p>
    <w:p w14:paraId="15633839" w14:textId="18737D71" w:rsidR="00B411D3" w:rsidRPr="00666E95" w:rsidRDefault="00932734" w:rsidP="002B7809">
      <w:pPr>
        <w:pStyle w:val="ArticleL2"/>
        <w:numPr>
          <w:ilvl w:val="0"/>
          <w:numId w:val="0"/>
        </w:numPr>
        <w:ind w:left="1260"/>
      </w:pPr>
      <w:r w:rsidRPr="00666E95">
        <w:t>[</w:t>
      </w:r>
      <w:r w:rsidRPr="00666E95">
        <w:rPr>
          <w:i/>
          <w:highlight w:val="yellow"/>
        </w:rPr>
        <w:t>NS</w:t>
      </w:r>
      <w:r w:rsidRPr="00682953">
        <w:rPr>
          <w:i/>
          <w:highlight w:val="yellow"/>
        </w:rPr>
        <w:t>PM</w:t>
      </w:r>
      <w:r w:rsidRPr="00666E95">
        <w:t>]</w:t>
      </w:r>
      <w:r w:rsidRPr="00666E95">
        <w:tab/>
      </w:r>
      <w:bookmarkStart w:id="430" w:name="_Toc433954025"/>
      <w:bookmarkStart w:id="431" w:name="_Toc433954183"/>
      <w:r w:rsidRPr="00666E95">
        <w:t>the Minnesota District Court for the Fourth District or, if jurisdictionally available, the U.S. District Court for the District of Minnesota.</w:t>
      </w:r>
      <w:bookmarkEnd w:id="430"/>
      <w:bookmarkEnd w:id="431"/>
    </w:p>
    <w:p w14:paraId="427E9646" w14:textId="2CA50D3E" w:rsidR="00B63F33" w:rsidRPr="00666E95" w:rsidRDefault="00B411D3" w:rsidP="002B7809">
      <w:pPr>
        <w:pStyle w:val="ArticleL2"/>
        <w:numPr>
          <w:ilvl w:val="0"/>
          <w:numId w:val="0"/>
        </w:numPr>
        <w:ind w:left="1260"/>
      </w:pPr>
      <w:r w:rsidRPr="00666E95">
        <w:t>[</w:t>
      </w:r>
      <w:r w:rsidRPr="00666E95">
        <w:rPr>
          <w:highlight w:val="yellow"/>
        </w:rPr>
        <w:t>NSPW</w:t>
      </w:r>
      <w:r w:rsidRPr="00666E95">
        <w:t xml:space="preserve">] </w:t>
      </w:r>
      <w:r w:rsidRPr="00666E95">
        <w:rPr>
          <w:highlight w:val="yellow"/>
        </w:rPr>
        <w:t>[update as applicable</w:t>
      </w:r>
      <w:r w:rsidRPr="00666E95">
        <w:t xml:space="preserve">] [the Wisconsin District Court for the </w:t>
      </w:r>
      <w:r w:rsidRPr="00666E95">
        <w:rPr>
          <w:highlight w:val="yellow"/>
        </w:rPr>
        <w:t>[      District]</w:t>
      </w:r>
      <w:r w:rsidRPr="00666E95">
        <w:t xml:space="preserve"> or, if jurisdictionally available, the U.S. District Court for the District of Wisconsin]</w:t>
      </w:r>
      <w:r w:rsidRPr="00666E95">
        <w:fldChar w:fldCharType="begin"/>
      </w:r>
      <w:r w:rsidRPr="00666E95">
        <w:instrText xml:space="preserve"> TC </w:instrText>
      </w:r>
      <w:r w:rsidRPr="00666E95">
        <w:fldChar w:fldCharType="end"/>
      </w:r>
    </w:p>
    <w:p w14:paraId="0D57DE1D" w14:textId="490B526D" w:rsidR="00B63F33" w:rsidRPr="00666E95" w:rsidRDefault="00B63F33" w:rsidP="002B7809">
      <w:pPr>
        <w:pStyle w:val="ArticleL2"/>
      </w:pPr>
      <w:bookmarkStart w:id="432" w:name="_Toc147494896"/>
      <w:bookmarkStart w:id="433" w:name="_Toc433954026"/>
      <w:bookmarkStart w:id="434" w:name="_Toc433954184"/>
      <w:r w:rsidRPr="00666E95">
        <w:rPr>
          <w:rStyle w:val="ArticleL2UnderlineChar"/>
        </w:rPr>
        <w:t>Waiver of Jury Trial</w:t>
      </w:r>
      <w:bookmarkEnd w:id="432"/>
      <w:r w:rsidRPr="00666E95">
        <w:t xml:space="preserve">.  </w:t>
      </w:r>
    </w:p>
    <w:p w14:paraId="7EF0BA79" w14:textId="5095A859" w:rsidR="00B63F33" w:rsidRPr="00666E95" w:rsidRDefault="00B63F33" w:rsidP="009F674A">
      <w:pPr>
        <w:pStyle w:val="BodyTextFirstIndent"/>
      </w:pPr>
      <w:r>
        <w:rPr>
          <w:b/>
        </w:rPr>
        <w:t>Seller and Company each hereby knowingly, voluntarily and intentionally waive any rights they may have to a trial by jury</w:t>
      </w:r>
      <w:r>
        <w:t xml:space="preserve"> in respect of any litigation based hereon, or arising out of, under, or in connection with, this PPA or any course of conduct, course of dealing, statements (whether oral or written) or actions of Seller and Company related hereto and expressly agree to have any </w:t>
      </w:r>
      <w:r w:rsidRPr="00682953">
        <w:t xml:space="preserve">Disputes be adjudicated by a judge of the court having jurisdiction, without a jury, subject only to </w:t>
      </w:r>
      <w:r w:rsidRPr="00682953">
        <w:rPr>
          <w:u w:val="single"/>
        </w:rPr>
        <w:t>Sections</w:t>
      </w:r>
      <w:r w:rsidR="000A707F" w:rsidRPr="00682953">
        <w:rPr>
          <w:u w:val="single"/>
        </w:rPr>
        <w:fldChar w:fldCharType="begin"/>
      </w:r>
      <w:r w:rsidR="000A707F" w:rsidRPr="00682953">
        <w:rPr>
          <w:u w:val="single"/>
        </w:rPr>
        <w:instrText xml:space="preserve"> REF _Ref149742791 \r \h </w:instrText>
      </w:r>
      <w:r w:rsidR="00773B62" w:rsidRPr="00682953">
        <w:rPr>
          <w:u w:val="single"/>
        </w:rPr>
        <w:instrText xml:space="preserve"> \* MERGEFORMAT </w:instrText>
      </w:r>
      <w:r w:rsidR="000A707F" w:rsidRPr="00682953">
        <w:rPr>
          <w:u w:val="single"/>
        </w:rPr>
      </w:r>
      <w:r w:rsidR="000A707F" w:rsidRPr="00682953">
        <w:rPr>
          <w:u w:val="single"/>
        </w:rPr>
        <w:fldChar w:fldCharType="separate"/>
      </w:r>
      <w:r w:rsidR="000A707F" w:rsidRPr="00682953">
        <w:rPr>
          <w:u w:val="single"/>
        </w:rPr>
        <w:t>12.1(E)</w:t>
      </w:r>
      <w:r w:rsidR="000A707F" w:rsidRPr="00682953">
        <w:rPr>
          <w:u w:val="single"/>
        </w:rPr>
        <w:fldChar w:fldCharType="end"/>
      </w:r>
      <w:r w:rsidRPr="00682953">
        <w:t xml:space="preserve">, </w:t>
      </w:r>
      <w:r w:rsidR="000A707F" w:rsidRPr="00682953">
        <w:rPr>
          <w:u w:val="single"/>
        </w:rPr>
        <w:fldChar w:fldCharType="begin"/>
      </w:r>
      <w:r w:rsidR="000A707F" w:rsidRPr="00682953">
        <w:rPr>
          <w:u w:val="single"/>
        </w:rPr>
        <w:instrText xml:space="preserve"> REF _Hlk48743701 \r \h </w:instrText>
      </w:r>
      <w:r w:rsidR="00773B62" w:rsidRPr="00682953">
        <w:rPr>
          <w:u w:val="single"/>
        </w:rPr>
        <w:instrText xml:space="preserve"> \* MERGEFORMAT </w:instrText>
      </w:r>
      <w:r w:rsidR="000A707F" w:rsidRPr="00682953">
        <w:rPr>
          <w:u w:val="single"/>
        </w:rPr>
      </w:r>
      <w:r w:rsidR="000A707F" w:rsidRPr="00682953">
        <w:rPr>
          <w:u w:val="single"/>
        </w:rPr>
        <w:fldChar w:fldCharType="separate"/>
      </w:r>
      <w:r w:rsidR="000A707F" w:rsidRPr="00682953">
        <w:rPr>
          <w:u w:val="single"/>
        </w:rPr>
        <w:t>19.3</w:t>
      </w:r>
      <w:r w:rsidR="000A707F" w:rsidRPr="00682953">
        <w:rPr>
          <w:u w:val="single"/>
        </w:rPr>
        <w:fldChar w:fldCharType="end"/>
      </w:r>
      <w:r w:rsidR="00773B62" w:rsidRPr="00682953">
        <w:rPr>
          <w:u w:val="single"/>
          <w:lang w:val="en-US"/>
        </w:rPr>
        <w:t>,</w:t>
      </w:r>
      <w:r w:rsidRPr="00682953">
        <w:t xml:space="preserve"> and </w:t>
      </w:r>
      <w:r w:rsidR="000A707F" w:rsidRPr="00682953">
        <w:rPr>
          <w:u w:val="single"/>
        </w:rPr>
        <w:fldChar w:fldCharType="begin"/>
      </w:r>
      <w:r w:rsidR="000A707F" w:rsidRPr="00682953">
        <w:rPr>
          <w:u w:val="single"/>
        </w:rPr>
        <w:instrText xml:space="preserve"> REF _Ref149744141 \w \h </w:instrText>
      </w:r>
      <w:r w:rsidR="00773B62" w:rsidRPr="00682953">
        <w:rPr>
          <w:u w:val="single"/>
        </w:rPr>
        <w:instrText xml:space="preserve"> \* MERGEFORMAT </w:instrText>
      </w:r>
      <w:r w:rsidR="000A707F" w:rsidRPr="00682953">
        <w:rPr>
          <w:u w:val="single"/>
        </w:rPr>
      </w:r>
      <w:r w:rsidR="000A707F" w:rsidRPr="00682953">
        <w:rPr>
          <w:u w:val="single"/>
        </w:rPr>
        <w:fldChar w:fldCharType="separate"/>
      </w:r>
      <w:r w:rsidR="000A707F" w:rsidRPr="00682953">
        <w:rPr>
          <w:u w:val="single"/>
        </w:rPr>
        <w:t>19.5</w:t>
      </w:r>
      <w:r w:rsidR="000A707F" w:rsidRPr="00682953">
        <w:rPr>
          <w:u w:val="single"/>
        </w:rPr>
        <w:fldChar w:fldCharType="end"/>
      </w:r>
      <w:r w:rsidRPr="00682953">
        <w:t>.</w:t>
      </w:r>
      <w:bookmarkEnd w:id="433"/>
      <w:bookmarkEnd w:id="434"/>
      <w:r w:rsidRPr="00666E95">
        <w:t xml:space="preserve"> </w:t>
      </w:r>
      <w:r w:rsidRPr="00666E95">
        <w:fldChar w:fldCharType="begin"/>
      </w:r>
      <w:r w:rsidRPr="00666E95">
        <w:instrText xml:space="preserve"> TC </w:instrText>
      </w:r>
      <w:r w:rsidRPr="00666E95">
        <w:fldChar w:fldCharType="end"/>
      </w:r>
      <w:bookmarkEnd w:id="405"/>
    </w:p>
    <w:p w14:paraId="742EC025" w14:textId="78E1C489" w:rsidR="00B63F33" w:rsidRDefault="00B63F33" w:rsidP="002B7809">
      <w:pPr>
        <w:pStyle w:val="ArticleL1"/>
      </w:pPr>
      <w:bookmarkStart w:id="435" w:name="_Toc288027288"/>
      <w:bookmarkStart w:id="436" w:name="_Toc433954027"/>
      <w:bookmarkStart w:id="437" w:name="_Toc433954185"/>
      <w:bookmarkStart w:id="438" w:name="_Toc147494897"/>
      <w:bookmarkStart w:id="439" w:name="_Ref149808329"/>
      <w:r>
        <w:lastRenderedPageBreak/>
        <w:t>Force Majeure</w:t>
      </w:r>
      <w:bookmarkEnd w:id="435"/>
      <w:bookmarkEnd w:id="436"/>
      <w:bookmarkEnd w:id="437"/>
      <w:bookmarkEnd w:id="438"/>
      <w:bookmarkEnd w:id="439"/>
    </w:p>
    <w:p w14:paraId="408E45F3" w14:textId="083DC471" w:rsidR="00B63F33" w:rsidRDefault="00B63F33" w:rsidP="002B7809">
      <w:pPr>
        <w:pStyle w:val="ArticleL2"/>
      </w:pPr>
      <w:bookmarkStart w:id="440" w:name="_Toc147494898"/>
      <w:bookmarkStart w:id="441" w:name="_Toc433954028"/>
      <w:bookmarkStart w:id="442" w:name="_Toc433954186"/>
      <w:bookmarkStart w:id="443" w:name="_Ref149808290"/>
      <w:bookmarkStart w:id="444" w:name="_Ref149808305"/>
      <w:bookmarkStart w:id="445" w:name="_Ref149810086"/>
      <w:bookmarkStart w:id="446" w:name="_Toc288027289"/>
      <w:r w:rsidRPr="00CD3934">
        <w:rPr>
          <w:rStyle w:val="ArticleL2UnderlineChar"/>
        </w:rPr>
        <w:t>Definition</w:t>
      </w:r>
      <w:bookmarkEnd w:id="440"/>
      <w:r>
        <w:t>.  For purposes hereof, “</w:t>
      </w:r>
      <w:r>
        <w:rPr>
          <w:u w:val="single"/>
        </w:rPr>
        <w:t>Force Majeure</w:t>
      </w:r>
      <w:r>
        <w:t>” means an event or circumstance that prevents a Party from performing its obligations under this PPA, which event or circumstance (i) was not anticipated as of the Effective Date, (ii) is not within the control of or the result of the fault or negligence of the Party claiming excuse, and (iii) which by exercise of due diligence and foresight could not reasonably have been avoided.  Force Majeure shall not include:</w:t>
      </w:r>
      <w:bookmarkEnd w:id="441"/>
      <w:bookmarkEnd w:id="442"/>
      <w:bookmarkEnd w:id="443"/>
      <w:bookmarkEnd w:id="444"/>
      <w:bookmarkEnd w:id="445"/>
      <w:r>
        <w:t xml:space="preserve"> </w:t>
      </w:r>
    </w:p>
    <w:p w14:paraId="2D1E5485" w14:textId="4264F47D" w:rsidR="00B63F33" w:rsidRDefault="00B63F33" w:rsidP="002B7809">
      <w:pPr>
        <w:pStyle w:val="ArticleL3"/>
      </w:pPr>
      <w:r>
        <w:t xml:space="preserve">inability, delays or excess cost, to procure any equipment necessary to perform this PPA, including as a result of the imposition of tariffs or any other changes in Applicable Law or supply chain </w:t>
      </w:r>
      <w:proofErr w:type="gramStart"/>
      <w:r>
        <w:t>disruptions;</w:t>
      </w:r>
      <w:proofErr w:type="gramEnd"/>
      <w:r>
        <w:t xml:space="preserve"> </w:t>
      </w:r>
    </w:p>
    <w:p w14:paraId="7F9D329A" w14:textId="1840093A" w:rsidR="00B63F33" w:rsidRDefault="00B63F33" w:rsidP="002B7809">
      <w:pPr>
        <w:pStyle w:val="ArticleL3"/>
      </w:pPr>
      <w:r>
        <w:t xml:space="preserve">acts or omissions of a third party (including vendors and contractors to Seller), unless such acts or omissions are themselves excused by reason of Force Majeure as defined in this </w:t>
      </w:r>
      <w:r>
        <w:rPr>
          <w:u w:val="single"/>
        </w:rPr>
        <w:t xml:space="preserve">Section </w:t>
      </w:r>
      <w:r w:rsidR="000A707F">
        <w:rPr>
          <w:u w:val="single"/>
        </w:rPr>
        <w:fldChar w:fldCharType="begin"/>
      </w:r>
      <w:r w:rsidR="000A707F">
        <w:rPr>
          <w:u w:val="single"/>
        </w:rPr>
        <w:instrText xml:space="preserve"> REF _Ref149808290 \w \h </w:instrText>
      </w:r>
      <w:r w:rsidR="000A707F">
        <w:rPr>
          <w:u w:val="single"/>
        </w:rPr>
      </w:r>
      <w:r w:rsidR="000A707F">
        <w:rPr>
          <w:u w:val="single"/>
        </w:rPr>
        <w:fldChar w:fldCharType="separate"/>
      </w:r>
      <w:r w:rsidR="000A707F">
        <w:rPr>
          <w:u w:val="single"/>
        </w:rPr>
        <w:t>14.1</w:t>
      </w:r>
      <w:r w:rsidR="000A707F">
        <w:rPr>
          <w:u w:val="single"/>
        </w:rPr>
        <w:fldChar w:fldCharType="end"/>
      </w:r>
      <w:r>
        <w:t xml:space="preserve">; </w:t>
      </w:r>
    </w:p>
    <w:p w14:paraId="4CAB384E" w14:textId="51D386ED" w:rsidR="00B63F33" w:rsidRDefault="00B63F33" w:rsidP="002B7809">
      <w:pPr>
        <w:pStyle w:val="ArticleL3"/>
      </w:pPr>
      <w:r>
        <w:t xml:space="preserve">failure to obtain any Permits required for the Facility, including the Permits set forth on </w:t>
      </w:r>
      <w:r w:rsidR="009076E2" w:rsidRPr="009076E2">
        <w:rPr>
          <w:u w:val="single"/>
        </w:rPr>
        <w:t>Exhibit F - Seller’s Needed Permits</w:t>
      </w:r>
      <w:r w:rsidR="009076E2">
        <w:rPr>
          <w:u w:val="single"/>
        </w:rPr>
        <w:t xml:space="preserve"> </w:t>
      </w:r>
      <w:proofErr w:type="gramStart"/>
      <w:r>
        <w:t>hereto;</w:t>
      </w:r>
      <w:proofErr w:type="gramEnd"/>
      <w:r>
        <w:t xml:space="preserve"> </w:t>
      </w:r>
    </w:p>
    <w:p w14:paraId="5F9BD3A3" w14:textId="603DF8DA" w:rsidR="00B63F33" w:rsidRDefault="00B63F33" w:rsidP="002B7809">
      <w:pPr>
        <w:pStyle w:val="ArticleL3"/>
      </w:pPr>
      <w:r>
        <w:t xml:space="preserve">mechanical or equipment breakdown or failure to operate under circumstances that </w:t>
      </w:r>
      <w:r w:rsidR="000608E6">
        <w:t>are within</w:t>
      </w:r>
      <w:r>
        <w:t xml:space="preserve"> the design criteria and/or normal operating </w:t>
      </w:r>
      <w:proofErr w:type="gramStart"/>
      <w:r>
        <w:t>tolerances;</w:t>
      </w:r>
      <w:proofErr w:type="gramEnd"/>
      <w:r>
        <w:t xml:space="preserve"> </w:t>
      </w:r>
    </w:p>
    <w:p w14:paraId="7813031B" w14:textId="1EEE5014" w:rsidR="00B63F33" w:rsidRDefault="00B63F33" w:rsidP="002B7809">
      <w:pPr>
        <w:pStyle w:val="ArticleL3"/>
      </w:pPr>
      <w:r>
        <w:t>Lack of [solar irradiance] [wind resource and speed]</w:t>
      </w:r>
    </w:p>
    <w:p w14:paraId="0C6B1C6C" w14:textId="77777777" w:rsidR="00B63F33" w:rsidRDefault="00B63F33" w:rsidP="002B7809">
      <w:pPr>
        <w:pStyle w:val="ArticleL3"/>
      </w:pPr>
      <w:r>
        <w:t xml:space="preserve">Environmental Contamination at the </w:t>
      </w:r>
      <w:proofErr w:type="gramStart"/>
      <w:r>
        <w:t>Site;</w:t>
      </w:r>
      <w:proofErr w:type="gramEnd"/>
    </w:p>
    <w:p w14:paraId="042E0739" w14:textId="77777777" w:rsidR="00B63F33" w:rsidRDefault="00B63F33" w:rsidP="002B7809">
      <w:pPr>
        <w:pStyle w:val="ArticleL3"/>
      </w:pPr>
      <w:r>
        <w:t xml:space="preserve">changes in market </w:t>
      </w:r>
      <w:proofErr w:type="gramStart"/>
      <w:r>
        <w:t>conditions;</w:t>
      </w:r>
      <w:proofErr w:type="gramEnd"/>
      <w:r>
        <w:t xml:space="preserve"> </w:t>
      </w:r>
    </w:p>
    <w:p w14:paraId="74D7BAB8" w14:textId="77777777" w:rsidR="00B63F33" w:rsidRDefault="00B63F33" w:rsidP="002B7809">
      <w:pPr>
        <w:pStyle w:val="ArticleL3"/>
      </w:pPr>
      <w:r>
        <w:t xml:space="preserve">any delay or failure by the Transmission Authority to perform its obligations under the Interconnection Agreement or any Curtailment or reduction in deliveries by the Transmission </w:t>
      </w:r>
      <w:proofErr w:type="gramStart"/>
      <w:r>
        <w:t>Authority;</w:t>
      </w:r>
      <w:proofErr w:type="gramEnd"/>
      <w:r>
        <w:t xml:space="preserve"> </w:t>
      </w:r>
    </w:p>
    <w:p w14:paraId="13231AB6" w14:textId="28AADA83" w:rsidR="00B63F33" w:rsidRDefault="00B63F33" w:rsidP="002B7809">
      <w:pPr>
        <w:pStyle w:val="ArticleL3"/>
      </w:pPr>
      <w:r>
        <w:t xml:space="preserve">failure of the performance of any other entity, including the failure of vendors or suppliers to deliver any required components to Seller, except to the extent such failure itself caused by Force Majeure as defined in this </w:t>
      </w:r>
      <w:r w:rsidRPr="005357FF">
        <w:rPr>
          <w:u w:val="single"/>
        </w:rPr>
        <w:t xml:space="preserve">Section </w:t>
      </w:r>
      <w:r w:rsidR="000A707F" w:rsidRPr="005357FF">
        <w:rPr>
          <w:u w:val="single"/>
        </w:rPr>
        <w:fldChar w:fldCharType="begin"/>
      </w:r>
      <w:r w:rsidR="000A707F" w:rsidRPr="005357FF">
        <w:rPr>
          <w:u w:val="single"/>
        </w:rPr>
        <w:instrText xml:space="preserve"> REF _Ref149808305 \w \h </w:instrText>
      </w:r>
      <w:r w:rsidR="000A707F">
        <w:rPr>
          <w:u w:val="single"/>
        </w:rPr>
        <w:instrText xml:space="preserve"> \* MERGEFORMAT </w:instrText>
      </w:r>
      <w:r w:rsidR="000A707F" w:rsidRPr="005357FF">
        <w:rPr>
          <w:u w:val="single"/>
        </w:rPr>
      </w:r>
      <w:r w:rsidR="000A707F" w:rsidRPr="005357FF">
        <w:rPr>
          <w:u w:val="single"/>
        </w:rPr>
        <w:fldChar w:fldCharType="separate"/>
      </w:r>
      <w:r w:rsidR="000A707F" w:rsidRPr="005357FF">
        <w:rPr>
          <w:u w:val="single"/>
        </w:rPr>
        <w:t>14.1</w:t>
      </w:r>
      <w:r w:rsidR="000A707F" w:rsidRPr="005357FF">
        <w:rPr>
          <w:u w:val="single"/>
        </w:rPr>
        <w:fldChar w:fldCharType="end"/>
      </w:r>
      <w:r>
        <w:t xml:space="preserve">; </w:t>
      </w:r>
    </w:p>
    <w:p w14:paraId="63D40D6F" w14:textId="333AA34C" w:rsidR="00472221" w:rsidRPr="00A12863" w:rsidRDefault="00B63F33" w:rsidP="002B7809">
      <w:pPr>
        <w:pStyle w:val="ArticleL3"/>
      </w:pPr>
      <w:r>
        <w:t xml:space="preserve">the delay or effects of the COVID epidemic or pandemic (or any variant of COVID), except to the extent there occurs after the Effective Date: (A) the adoption or taking effect of any Applicable Law in respect of such COVID epidemic or pandemic (or any variant thereof), or (B) a change in any Applicable Law or any health or safety recommendation or guideline of a Governmental Authority in respect of such COVID epidemic or; </w:t>
      </w:r>
    </w:p>
    <w:p w14:paraId="3CC84A41" w14:textId="2F69A343" w:rsidR="00B63F33" w:rsidRPr="00413988" w:rsidRDefault="00B63F33" w:rsidP="002B7809">
      <w:pPr>
        <w:pStyle w:val="ArticleL3"/>
      </w:pPr>
      <w:r>
        <w:t xml:space="preserve">changes of Applicable Law; or </w:t>
      </w:r>
    </w:p>
    <w:p w14:paraId="6AD582BE" w14:textId="77777777" w:rsidR="00B63F33" w:rsidRDefault="00B63F33" w:rsidP="002B7809">
      <w:pPr>
        <w:pStyle w:val="ArticleL3"/>
      </w:pPr>
      <w:r>
        <w:t xml:space="preserve">labor strikes, slowdowns, work stoppages, or other labor disruptions. </w:t>
      </w:r>
    </w:p>
    <w:p w14:paraId="1DC2D78C" w14:textId="5F819DB0" w:rsidR="00B63F33" w:rsidRDefault="00B63F33" w:rsidP="00CD3934">
      <w:pPr>
        <w:pStyle w:val="ArticleL2"/>
      </w:pPr>
      <w:bookmarkStart w:id="447" w:name="_Toc147494899"/>
      <w:bookmarkStart w:id="448" w:name="_Toc433954030"/>
      <w:bookmarkStart w:id="449" w:name="_Toc433954188"/>
      <w:r w:rsidRPr="00CD3934">
        <w:rPr>
          <w:rStyle w:val="ArticleL2UnderlineChar"/>
        </w:rPr>
        <w:t>Applicability of Force Majeure</w:t>
      </w:r>
      <w:bookmarkEnd w:id="447"/>
      <w:r>
        <w:t xml:space="preserve">.  A Party shall be relieved of its obligations to perform this PPA and shall not be considered to be in default with respect to any obligation under this PPA if and to the extent such Party is prevented from fulfilling such obligation by Force Majeure, </w:t>
      </w:r>
      <w:r w:rsidRPr="00CD3934">
        <w:rPr>
          <w:i/>
        </w:rPr>
        <w:t xml:space="preserve">provided, however, </w:t>
      </w:r>
      <w:r>
        <w:t xml:space="preserve">that:  (i) such Party gives notice describing the </w:t>
      </w:r>
      <w:r>
        <w:lastRenderedPageBreak/>
        <w:t>circumstances and impact of the Force Majeure no later than five (5) Business Days after the occurrence of such Force Majeure; (ii) the relief from its obligations sought by such Party is of no greater scope and of no longer duration than is required by the Force Majeure; (iii) such Party proceeds with due diligence to overcome the Force Majeure and resumes performance of its obligations under this PPA as soon as practicable thereafter; and (iv) such Party provides notice upon conclusion of the Force Majeure.</w:t>
      </w:r>
      <w:bookmarkEnd w:id="446"/>
      <w:bookmarkEnd w:id="448"/>
      <w:bookmarkEnd w:id="449"/>
      <w:r>
        <w:t xml:space="preserve">  Failure to provide such notice within the required time period shall be deemed conclusive evidence that the claimed Force Majeure event either did not occur or did not impact Seller’s ability to perform its obligations under this </w:t>
      </w:r>
      <w:bookmarkStart w:id="450" w:name="_cp_change_117"/>
      <w:r w:rsidRPr="00CD3934">
        <w:rPr>
          <w:color w:val="000000" w:themeColor="text1"/>
        </w:rPr>
        <w:t>PPA</w:t>
      </w:r>
      <w:bookmarkEnd w:id="450"/>
      <w:r w:rsidRPr="00CD3934">
        <w:rPr>
          <w:color w:val="000000" w:themeColor="text1"/>
        </w:rPr>
        <w:t xml:space="preserve"> </w:t>
      </w:r>
      <w:r>
        <w:t xml:space="preserve">in any fashion and thus Seller shall not be entitled to relief under this </w:t>
      </w:r>
      <w:r w:rsidR="000A707F">
        <w:rPr>
          <w:u w:val="single"/>
        </w:rPr>
        <w:fldChar w:fldCharType="begin"/>
      </w:r>
      <w:r w:rsidR="000A707F">
        <w:instrText xml:space="preserve"> REF _Ref149808329 \w \h </w:instrText>
      </w:r>
      <w:r w:rsidR="000A707F">
        <w:rPr>
          <w:u w:val="single"/>
        </w:rPr>
      </w:r>
      <w:r w:rsidR="000A707F">
        <w:rPr>
          <w:u w:val="single"/>
        </w:rPr>
        <w:fldChar w:fldCharType="separate"/>
      </w:r>
      <w:r w:rsidR="000A707F">
        <w:t>Article 14</w:t>
      </w:r>
      <w:r w:rsidR="000A707F">
        <w:rPr>
          <w:u w:val="single"/>
        </w:rPr>
        <w:fldChar w:fldCharType="end"/>
      </w:r>
      <w:r>
        <w:t>.</w:t>
      </w:r>
    </w:p>
    <w:p w14:paraId="56D3D3C0" w14:textId="7ED02C60" w:rsidR="00B63F33" w:rsidRDefault="00B63F33" w:rsidP="002B7809">
      <w:pPr>
        <w:pStyle w:val="ArticleL2"/>
      </w:pPr>
      <w:bookmarkStart w:id="451" w:name="_Toc147494900"/>
      <w:bookmarkStart w:id="452" w:name="_Toc433954031"/>
      <w:bookmarkStart w:id="453" w:name="_Toc433954189"/>
      <w:bookmarkStart w:id="454" w:name="_Toc288027290"/>
      <w:r w:rsidRPr="00CD3934">
        <w:rPr>
          <w:rStyle w:val="ArticleL2UnderlineChar"/>
        </w:rPr>
        <w:t>Limitations on Effect of Force Majeure</w:t>
      </w:r>
      <w:bookmarkEnd w:id="451"/>
      <w:r>
        <w:t>.</w:t>
      </w:r>
      <w:bookmarkEnd w:id="452"/>
      <w:bookmarkEnd w:id="453"/>
      <w:r>
        <w:t xml:space="preserve">  </w:t>
      </w:r>
      <w:bookmarkEnd w:id="454"/>
    </w:p>
    <w:p w14:paraId="176F47F1" w14:textId="77777777" w:rsidR="00B63F33" w:rsidRDefault="00B63F33" w:rsidP="002B7809">
      <w:pPr>
        <w:pStyle w:val="ArticleL3"/>
      </w:pPr>
      <w:r>
        <w:t xml:space="preserve">Force Majeure shall only relieve a Party of such obligations as are </w:t>
      </w:r>
      <w:proofErr w:type="gramStart"/>
      <w:r>
        <w:t>actually precluded</w:t>
      </w:r>
      <w:proofErr w:type="gramEnd"/>
      <w:r>
        <w:t xml:space="preserve"> by the Force Majeure.</w:t>
      </w:r>
    </w:p>
    <w:p w14:paraId="23279E34" w14:textId="77777777" w:rsidR="00B63F33" w:rsidRDefault="00B63F33" w:rsidP="002B7809">
      <w:pPr>
        <w:pStyle w:val="ArticleL3"/>
      </w:pPr>
      <w:r>
        <w:t xml:space="preserve">In no event will the existence of Force Majeure extend this PPA beyond its stated Term.  </w:t>
      </w:r>
    </w:p>
    <w:p w14:paraId="41ECE677" w14:textId="18E03763" w:rsidR="00B63F33" w:rsidRDefault="00B63F33" w:rsidP="002B7809">
      <w:pPr>
        <w:pStyle w:val="ArticleL3"/>
      </w:pPr>
      <w:bookmarkStart w:id="455" w:name="_Hlk46915006"/>
      <w:r>
        <w:t>If, (i) prior to COD,  Force Majeure affecting Seller continues for a period of ninety (90) consecutive Days or any one hundred fifty (150) non-consecutive Days or (ii) after COD Force Majeure affecting Seller continues for a period of one hundred eighty (180) consecutive Days or any two hundred seventy (270) non-consecutive Days in any three consecutive Commercial Operation Years, Company may, at any time following the end of such period, terminate this PPA upon notice to Seller, without further obligation by either Party except as to costs and balances incurred prior to the effective date of such termination.</w:t>
      </w:r>
      <w:bookmarkEnd w:id="455"/>
    </w:p>
    <w:p w14:paraId="38523833" w14:textId="265FF664" w:rsidR="00B63F33" w:rsidRDefault="00B63F33" w:rsidP="002B7809">
      <w:pPr>
        <w:pStyle w:val="ArticleL1"/>
      </w:pPr>
      <w:bookmarkStart w:id="456" w:name="_Toc288027292"/>
      <w:bookmarkStart w:id="457" w:name="_Toc433954032"/>
      <w:bookmarkStart w:id="458" w:name="_Toc433954190"/>
      <w:bookmarkStart w:id="459" w:name="_Toc147494901"/>
      <w:r>
        <w:t>Representations, Warranties</w:t>
      </w:r>
      <w:bookmarkEnd w:id="456"/>
      <w:bookmarkEnd w:id="457"/>
      <w:bookmarkEnd w:id="458"/>
      <w:r>
        <w:t xml:space="preserve"> and Covenants</w:t>
      </w:r>
      <w:bookmarkEnd w:id="459"/>
    </w:p>
    <w:p w14:paraId="4542D59E" w14:textId="77777777" w:rsidR="00B63F33" w:rsidRDefault="00B63F33" w:rsidP="002B7809">
      <w:pPr>
        <w:pStyle w:val="ArticleL3"/>
      </w:pPr>
      <w:bookmarkStart w:id="460" w:name="_Toc288027293"/>
      <w:bookmarkStart w:id="461" w:name="_Toc433954033"/>
      <w:bookmarkStart w:id="462" w:name="_Toc433954191"/>
      <w:r>
        <w:t>Each Party hereby represents and warrants to the other as follows, which representations and warranties shall be deemed to be repeated, if applicable, by each Party throughout the Term:</w:t>
      </w:r>
      <w:bookmarkEnd w:id="460"/>
      <w:bookmarkEnd w:id="461"/>
      <w:bookmarkEnd w:id="462"/>
    </w:p>
    <w:p w14:paraId="3009E71D" w14:textId="77777777" w:rsidR="00B63F33" w:rsidRDefault="00B63F33" w:rsidP="002B7809">
      <w:pPr>
        <w:pStyle w:val="ArticleL4"/>
      </w:pPr>
      <w:r>
        <w:t>Such Party is a valid separate legal entity, duly organized, validly existing and in good standing under Applicable Law.  It is qualified to do business in the State in which the Facility is located and each other jurisdiction where the failure to so qualify would have a Material Adverse Effect on the business or financial condition of the other Party.  It has all requisite power and authority to conduct its business, to own its properties, and to execute, deliver, and perform its obligations under this PPA.</w:t>
      </w:r>
    </w:p>
    <w:p w14:paraId="06F41FC7" w14:textId="77777777" w:rsidR="00B63F33" w:rsidRDefault="00B63F33" w:rsidP="002B7809">
      <w:pPr>
        <w:pStyle w:val="ArticleL4"/>
      </w:pPr>
      <w:r>
        <w:t xml:space="preserve">The Party’s execution, delivery, and performance of </w:t>
      </w:r>
      <w:proofErr w:type="gramStart"/>
      <w:r>
        <w:t>all of</w:t>
      </w:r>
      <w:proofErr w:type="gramEnd"/>
      <w:r>
        <w:t xml:space="preserve"> its obligations under this PPA have been duly authorized by all necessary organizational action, and do not and will not:</w:t>
      </w:r>
    </w:p>
    <w:p w14:paraId="5E73B968" w14:textId="0A8B4208" w:rsidR="00B63F33" w:rsidRDefault="00B63F33" w:rsidP="002B7809">
      <w:pPr>
        <w:pStyle w:val="ArticleL5"/>
      </w:pPr>
      <w:r>
        <w:t xml:space="preserve">require any consent or approval by any governing corporate or management body, other than that which has been obtained </w:t>
      </w:r>
      <w:r>
        <w:lastRenderedPageBreak/>
        <w:t>and is in full force and effect (evidence of which shall be delivered to the other Party upon its request</w:t>
      </w:r>
      <w:proofErr w:type="gramStart"/>
      <w:r>
        <w:t>);</w:t>
      </w:r>
      <w:proofErr w:type="gramEnd"/>
    </w:p>
    <w:p w14:paraId="189CB9C1" w14:textId="77777777" w:rsidR="00B63F33" w:rsidRDefault="00B63F33" w:rsidP="002B7809">
      <w:pPr>
        <w:pStyle w:val="ArticleL5"/>
      </w:pPr>
      <w:r>
        <w:t xml:space="preserve">violate any Applicable Law, the violation of which could have a Material Adverse Effect on the representing Party’s ability to perform its obligations under this </w:t>
      </w:r>
      <w:proofErr w:type="gramStart"/>
      <w:r>
        <w:t>PPA;</w:t>
      </w:r>
      <w:proofErr w:type="gramEnd"/>
    </w:p>
    <w:p w14:paraId="4F8ED4F7" w14:textId="77777777" w:rsidR="00B63F33" w:rsidRDefault="00B63F33" w:rsidP="002B7809">
      <w:pPr>
        <w:pStyle w:val="ArticleL5"/>
      </w:pPr>
      <w:r>
        <w:t>result in a breach or constitute a default under the representing Party’s formation documents, bylaws or equivalent, or under any agreement relating to its management or affairs, any indenture or loan or credit agreement, or any other agreement, lease, or instrument to which it is a party or by which it or its properties or assets may be bound or affected, the breach or default of which could reasonably be expected to have a Material Adverse Effect on the representing Party’s ability to perform its obligations under this PPA; or</w:t>
      </w:r>
    </w:p>
    <w:p w14:paraId="358CD5E2" w14:textId="77777777" w:rsidR="00B63F33" w:rsidRDefault="00B63F33" w:rsidP="002B7809">
      <w:pPr>
        <w:pStyle w:val="ArticleL5"/>
      </w:pPr>
      <w:r>
        <w:t>result in, or require the creation or imposition of any mortgage, deed of trust, pledge, lien, security interest, or other charge or encumbrance of any nature (other than as may be contemplated by this PPA) upon or with respect to any of the assets or properties of the representing Party now owned or hereafter acquired, the creation or imposition of which could reasonably be expected to have a Material Adverse Effect on the representing Party’s ability to perform its obligations under this PPA.</w:t>
      </w:r>
    </w:p>
    <w:p w14:paraId="76F603E2" w14:textId="77777777" w:rsidR="00B63F33" w:rsidRDefault="00B63F33" w:rsidP="002B7809">
      <w:pPr>
        <w:pStyle w:val="ArticleL4"/>
      </w:pPr>
      <w:r>
        <w:t>This PPA is a valid and binding obligation of the representing Party.</w:t>
      </w:r>
    </w:p>
    <w:p w14:paraId="56FFEB90" w14:textId="77777777" w:rsidR="00B63F33" w:rsidRDefault="00B63F33" w:rsidP="002B7809">
      <w:pPr>
        <w:pStyle w:val="ArticleL4"/>
      </w:pPr>
      <w:r>
        <w:t>The execution and performance of this PPA will not conflict with or constitute a breach or default under any contract or agreement of any kind to which the representing Party is a party or any judgment, order, or Applicable Law, applicable to it or its business.</w:t>
      </w:r>
    </w:p>
    <w:p w14:paraId="32FCD3E5" w14:textId="77777777" w:rsidR="00B63F33" w:rsidRDefault="00B63F33" w:rsidP="002B7809">
      <w:pPr>
        <w:pStyle w:val="ArticleL4"/>
      </w:pPr>
      <w:r>
        <w:t>Within the meaning of the U.S. Bankruptcy Code, (i) this PPA constitutes a “master netting agreement,” (ii) all transactions pursuant to this PPA constitute “forward contracts” or a “swap agreement,” (iii) the representing Party is a “forward contract merchant” and “master netting agreement participant,” and (iv) all payments made or to be made pursuant to this PPA constitute “settlement payments.”</w:t>
      </w:r>
    </w:p>
    <w:p w14:paraId="2859D734" w14:textId="1B70DF43" w:rsidR="00B63F33" w:rsidRDefault="00B63F33" w:rsidP="002B7809">
      <w:pPr>
        <w:pStyle w:val="ArticleL4"/>
      </w:pPr>
      <w:r>
        <w:t xml:space="preserve">Such Party is (i) a producer, processor, or commercial user of, or a merchant handling, the </w:t>
      </w:r>
      <w:proofErr w:type="gramStart"/>
      <w:r>
        <w:t>commodity</w:t>
      </w:r>
      <w:proofErr w:type="gramEnd"/>
      <w:r>
        <w:t xml:space="preserve"> which is the subject of this PPA, or the </w:t>
      </w:r>
      <w:r>
        <w:lastRenderedPageBreak/>
        <w:t>products or by products thereof; and (ii) entering into this PPA solely for purposes related to its business as such.</w:t>
      </w:r>
    </w:p>
    <w:p w14:paraId="19A1A5A8" w14:textId="4CFA2123" w:rsidR="00B63F33" w:rsidRDefault="00B63F33" w:rsidP="002B7809">
      <w:pPr>
        <w:pStyle w:val="ArticleL3"/>
      </w:pPr>
      <w:bookmarkStart w:id="463" w:name="_Hlk46907504"/>
      <w:r>
        <w:t xml:space="preserve">Seller further hereby covenants to Company throughout the Term that, in connection with its obligations under this PPA:  </w:t>
      </w:r>
    </w:p>
    <w:p w14:paraId="695CE79C" w14:textId="77777777" w:rsidR="00B63F33" w:rsidRDefault="00B63F33" w:rsidP="002B7809">
      <w:pPr>
        <w:pStyle w:val="ArticleL4"/>
      </w:pPr>
      <w:r>
        <w:t>Seller shall deliver to Company the products and services required by this PPA free and clear of all liens, security interests, claims and encumbrances or any interest therein or thereto by any person.</w:t>
      </w:r>
    </w:p>
    <w:p w14:paraId="2C2E33C0" w14:textId="77777777" w:rsidR="00B63F33" w:rsidRDefault="00B63F33" w:rsidP="002B7809">
      <w:pPr>
        <w:pStyle w:val="ArticleL4"/>
      </w:pPr>
      <w:bookmarkStart w:id="464" w:name="_Ref149743057"/>
      <w:r>
        <w:t>Seller (a) is in compliance with, and requires its suppliers, subcontractors, vendors, and other business partners to comply with, the Uyghur Forced Labor Prevention Act, Pub. L. 117-78 (2021) (the “</w:t>
      </w:r>
      <w:r>
        <w:rPr>
          <w:u w:val="single"/>
        </w:rPr>
        <w:t>UFLPA</w:t>
      </w:r>
      <w:r>
        <w:t>”), Section 307 of the Tariff Act of 1930, 19 U.S.C. §1307, and all other Applicable Laws prohibiting any form of convict, indentured, or forced labor, including forced or indentured child labor (collectively, the “</w:t>
      </w:r>
      <w:bookmarkStart w:id="465" w:name="_Hlk97770053"/>
      <w:r>
        <w:rPr>
          <w:u w:val="single"/>
        </w:rPr>
        <w:t>Forced Labor Laws</w:t>
      </w:r>
      <w:bookmarkEnd w:id="465"/>
      <w:r>
        <w:t>”), and (b) has adopted and implemented appropriate policies to ensure that it, and its suppliers, subcontractors, vendors, and other business partners, engage in regular audits or other comparable efforts to monitor ongoing compliance with the Forced Labor Laws and maintain any certifications required thereunder.</w:t>
      </w:r>
      <w:bookmarkEnd w:id="464"/>
    </w:p>
    <w:p w14:paraId="03840BB2" w14:textId="4A7C2328" w:rsidR="00B63F33" w:rsidRDefault="00B63F33" w:rsidP="002B7809">
      <w:pPr>
        <w:pStyle w:val="ArticleL1"/>
      </w:pPr>
      <w:bookmarkStart w:id="466" w:name="_Toc288027296"/>
      <w:bookmarkStart w:id="467" w:name="_Toc433954034"/>
      <w:bookmarkStart w:id="468" w:name="_Toc433954192"/>
      <w:bookmarkStart w:id="469" w:name="_Toc147494902"/>
      <w:bookmarkStart w:id="470" w:name="_Ref149743045"/>
      <w:bookmarkStart w:id="471" w:name="_Ref149743615"/>
      <w:bookmarkEnd w:id="463"/>
      <w:r>
        <w:t>Insurance</w:t>
      </w:r>
      <w:bookmarkEnd w:id="466"/>
      <w:bookmarkEnd w:id="467"/>
      <w:bookmarkEnd w:id="468"/>
      <w:bookmarkEnd w:id="469"/>
      <w:bookmarkEnd w:id="470"/>
      <w:bookmarkEnd w:id="471"/>
    </w:p>
    <w:p w14:paraId="7BC14EF4" w14:textId="393C2546" w:rsidR="00B63F33" w:rsidRDefault="00B63F33" w:rsidP="002B7809">
      <w:pPr>
        <w:pStyle w:val="ArticleL2"/>
      </w:pPr>
      <w:bookmarkStart w:id="472" w:name="_Toc147494903"/>
      <w:bookmarkStart w:id="473" w:name="_Toc433954035"/>
      <w:bookmarkStart w:id="474" w:name="_Toc433954193"/>
      <w:bookmarkStart w:id="475" w:name="_Toc288027297"/>
      <w:r w:rsidRPr="00CD3934">
        <w:rPr>
          <w:rStyle w:val="ArticleL2UnderlineChar"/>
        </w:rPr>
        <w:t>Evidence of Insurance</w:t>
      </w:r>
      <w:bookmarkEnd w:id="472"/>
      <w:r>
        <w:t xml:space="preserve">.  No later than commencement of construction and thereafter no later than five (5) Business Days after each applicable expiration date, Seller shall provide to Company via e-mail a copy of insurance certificates acceptable to Company evidencing that insurance coverages for the Facility are in force and in compliance with the specifications for insurance coverage set forth in </w:t>
      </w:r>
      <w:r w:rsidR="009076E2" w:rsidRPr="009076E2">
        <w:rPr>
          <w:u w:val="single"/>
        </w:rPr>
        <w:t>Exhibit E - Insurance Coverage</w:t>
      </w:r>
      <w:r>
        <w:t xml:space="preserve"> to this PPA.  Such certificates shall</w:t>
      </w:r>
      <w:bookmarkEnd w:id="473"/>
      <w:bookmarkEnd w:id="474"/>
      <w:r w:rsidR="00E35A14">
        <w:t>:</w:t>
      </w:r>
      <w:r>
        <w:t xml:space="preserve"> </w:t>
      </w:r>
    </w:p>
    <w:p w14:paraId="41FED5AF" w14:textId="5428049F" w:rsidR="00B63F33" w:rsidRDefault="00B63F33" w:rsidP="002B7809">
      <w:pPr>
        <w:pStyle w:val="ArticleL3"/>
      </w:pPr>
      <w:r>
        <w:t>name Company as an additional insured (except workers’ compensation</w:t>
      </w:r>
      <w:proofErr w:type="gramStart"/>
      <w:r>
        <w:t>);</w:t>
      </w:r>
      <w:proofErr w:type="gramEnd"/>
    </w:p>
    <w:p w14:paraId="68587BE7" w14:textId="77777777" w:rsidR="00B63F33" w:rsidRDefault="00B63F33" w:rsidP="002B7809">
      <w:pPr>
        <w:pStyle w:val="ArticleL3"/>
      </w:pPr>
      <w:r>
        <w:t>provide that Company shall receive thirty (30) Days prior written notice of non</w:t>
      </w:r>
      <w:r>
        <w:noBreakHyphen/>
        <w:t>renewal, cancellation of, or significant modification to any of the corresponding policies (except that such notice may be ten (10) Days for non</w:t>
      </w:r>
      <w:r>
        <w:noBreakHyphen/>
        <w:t>payment of premiums</w:t>
      </w:r>
      <w:proofErr w:type="gramStart"/>
      <w:r>
        <w:t>);</w:t>
      </w:r>
      <w:proofErr w:type="gramEnd"/>
    </w:p>
    <w:p w14:paraId="25964B40" w14:textId="141ADF76" w:rsidR="00B63F33" w:rsidRDefault="00B63F33" w:rsidP="002B7809">
      <w:pPr>
        <w:pStyle w:val="ArticleL3"/>
      </w:pPr>
      <w:r>
        <w:t>provide a waiver of any rights of subrogation against Company, its Affiliates and their officers, directors, agents, subcontractors, and employees; and</w:t>
      </w:r>
    </w:p>
    <w:p w14:paraId="11D1932B" w14:textId="77777777" w:rsidR="00B63F33" w:rsidRDefault="00B63F33" w:rsidP="002B7809">
      <w:pPr>
        <w:pStyle w:val="ArticleL3"/>
      </w:pPr>
      <w:r>
        <w:t>indicate that the Commercial General Liability policy has been endorsed as described above.</w:t>
      </w:r>
    </w:p>
    <w:p w14:paraId="30762023" w14:textId="65FB7A79" w:rsidR="00B63F33" w:rsidRDefault="00B63F33" w:rsidP="00CD3934">
      <w:pPr>
        <w:pStyle w:val="ArticleL2"/>
        <w:keepNext w:val="0"/>
      </w:pPr>
      <w:bookmarkStart w:id="476" w:name="_Toc147494904"/>
      <w:bookmarkStart w:id="477" w:name="_Toc433954036"/>
      <w:bookmarkStart w:id="478" w:name="_Toc433954194"/>
      <w:r w:rsidRPr="00CD3934">
        <w:rPr>
          <w:rStyle w:val="ArticleL2UnderlineChar"/>
        </w:rPr>
        <w:t>Policy Requirements</w:t>
      </w:r>
      <w:bookmarkEnd w:id="476"/>
      <w:r>
        <w:t xml:space="preserve">.  All policies shall be written with insurers with an AM Best rating of at least A-VII or a Standard &amp; </w:t>
      </w:r>
      <w:proofErr w:type="spellStart"/>
      <w:r>
        <w:t>Poors</w:t>
      </w:r>
      <w:proofErr w:type="spellEnd"/>
      <w:r>
        <w:t xml:space="preserve"> rating of at least A.  All policies shall be written on an occurrence basis, except as provided in </w:t>
      </w:r>
      <w:r w:rsidRPr="00CD3934">
        <w:rPr>
          <w:u w:val="single"/>
        </w:rPr>
        <w:t xml:space="preserve">Section </w:t>
      </w:r>
      <w:r w:rsidR="000A707F">
        <w:rPr>
          <w:u w:val="single"/>
        </w:rPr>
        <w:fldChar w:fldCharType="begin"/>
      </w:r>
      <w:r w:rsidR="000A707F">
        <w:rPr>
          <w:u w:val="single"/>
        </w:rPr>
        <w:instrText xml:space="preserve"> REF _Ref149808367 \w \h </w:instrText>
      </w:r>
      <w:r w:rsidR="000A707F">
        <w:rPr>
          <w:u w:val="single"/>
        </w:rPr>
      </w:r>
      <w:r w:rsidR="000A707F">
        <w:rPr>
          <w:u w:val="single"/>
        </w:rPr>
        <w:fldChar w:fldCharType="separate"/>
      </w:r>
      <w:r w:rsidR="000A707F">
        <w:rPr>
          <w:u w:val="single"/>
        </w:rPr>
        <w:t>16.4</w:t>
      </w:r>
      <w:r w:rsidR="000A707F">
        <w:rPr>
          <w:u w:val="single"/>
        </w:rPr>
        <w:fldChar w:fldCharType="end"/>
      </w:r>
      <w:proofErr w:type="gramStart"/>
      <w:r>
        <w:t xml:space="preserve">.  </w:t>
      </w:r>
      <w:proofErr w:type="gramEnd"/>
      <w:r>
        <w:t>All policies shall contain an endorsement that Seller’s policy shall be primary in all instances regardless of like coverages, if any, carried by Company.</w:t>
      </w:r>
      <w:bookmarkEnd w:id="477"/>
      <w:bookmarkEnd w:id="478"/>
      <w:r>
        <w:t xml:space="preserve">  Seller may satisfy its insurance requirements using any reasonable combination of primary and secondary coverage.</w:t>
      </w:r>
    </w:p>
    <w:p w14:paraId="4239960B" w14:textId="7A4ADB00" w:rsidR="00B63F33" w:rsidRDefault="00B63F33" w:rsidP="00CD3934">
      <w:pPr>
        <w:pStyle w:val="ArticleL2"/>
        <w:keepNext w:val="0"/>
      </w:pPr>
      <w:bookmarkStart w:id="479" w:name="_Toc147494905"/>
      <w:bookmarkStart w:id="480" w:name="_Toc433954037"/>
      <w:bookmarkStart w:id="481" w:name="_Toc433954195"/>
      <w:r w:rsidRPr="00CD3934">
        <w:rPr>
          <w:rStyle w:val="ArticleL2UnderlineChar"/>
        </w:rPr>
        <w:lastRenderedPageBreak/>
        <w:t>No Implied Limitation</w:t>
      </w:r>
      <w:bookmarkEnd w:id="479"/>
      <w:r>
        <w:t>.  Seller’s liability under this PPA is not limited to the amount of insurance coverage required herein.</w:t>
      </w:r>
      <w:bookmarkEnd w:id="475"/>
      <w:bookmarkEnd w:id="480"/>
      <w:bookmarkEnd w:id="481"/>
    </w:p>
    <w:p w14:paraId="363DFC6A" w14:textId="08EE8C0B" w:rsidR="00B63F33" w:rsidRDefault="00B63F33" w:rsidP="002B7809">
      <w:pPr>
        <w:pStyle w:val="ArticleL2"/>
      </w:pPr>
      <w:bookmarkStart w:id="482" w:name="_Toc147494906"/>
      <w:bookmarkStart w:id="483" w:name="_Toc288027298"/>
      <w:bookmarkStart w:id="484" w:name="_Toc433954038"/>
      <w:bookmarkStart w:id="485" w:name="_Toc433954196"/>
      <w:bookmarkStart w:id="486" w:name="_Ref149808367"/>
      <w:r w:rsidRPr="003D41B1">
        <w:rPr>
          <w:rStyle w:val="ArticleL2UnderlineChar"/>
        </w:rPr>
        <w:t>Term and Modification of Insurance</w:t>
      </w:r>
      <w:bookmarkEnd w:id="482"/>
      <w:r>
        <w:t>.</w:t>
      </w:r>
      <w:bookmarkEnd w:id="483"/>
      <w:bookmarkEnd w:id="484"/>
      <w:bookmarkEnd w:id="485"/>
      <w:bookmarkEnd w:id="486"/>
    </w:p>
    <w:p w14:paraId="03092EE0" w14:textId="77777777" w:rsidR="00B63F33" w:rsidRDefault="00B63F33" w:rsidP="002B7809">
      <w:pPr>
        <w:pStyle w:val="ArticleL3"/>
      </w:pPr>
      <w:r>
        <w:t xml:space="preserve">All insurance required under this PPA shall cover occurrences during the Term and for a period of two years after the Term.  </w:t>
      </w:r>
      <w:proofErr w:type="gramStart"/>
      <w:r>
        <w:t>In the event that</w:t>
      </w:r>
      <w:proofErr w:type="gramEnd"/>
      <w:r>
        <w:t xml:space="preserve"> any insurance as required herein is commercially available only on a “claims-made” basis, such insurance shall provide for a retroactive date not later than the Effective Date and such insurance shall be maintained by Seller for a minimum of six years after the Term.</w:t>
      </w:r>
    </w:p>
    <w:p w14:paraId="1257FBFA" w14:textId="17F5B8D6" w:rsidR="00B63F33" w:rsidRDefault="00B63F33" w:rsidP="002B7809">
      <w:pPr>
        <w:pStyle w:val="ArticleL3"/>
      </w:pPr>
      <w:r>
        <w:t xml:space="preserve">Company shall have the right, at times </w:t>
      </w:r>
      <w:proofErr w:type="gramStart"/>
      <w:r>
        <w:t>deemed</w:t>
      </w:r>
      <w:proofErr w:type="gramEnd"/>
      <w:r>
        <w:t xml:space="preserve"> appropriate to Company during the Term, to request Seller to modify the insurance minimum limits specified in </w:t>
      </w:r>
      <w:r w:rsidR="009076E2" w:rsidRPr="009076E2">
        <w:rPr>
          <w:u w:val="single"/>
        </w:rPr>
        <w:t>Exhibit E - Insurance Coverage</w:t>
      </w:r>
      <w:r w:rsidR="009076E2">
        <w:rPr>
          <w:u w:val="single"/>
        </w:rPr>
        <w:t xml:space="preserve"> </w:t>
      </w:r>
      <w:r>
        <w:t>in order to maintain Commercially Reasonable coverage amounts.  Seller shall make Commercially Reasonable Efforts to comply with any such request.</w:t>
      </w:r>
    </w:p>
    <w:p w14:paraId="546A6CEE" w14:textId="77777777" w:rsidR="00B63F33" w:rsidRDefault="00B63F33" w:rsidP="002B7809">
      <w:pPr>
        <w:pStyle w:val="ArticleL3"/>
      </w:pPr>
      <w:r>
        <w:t>If any insurance required to be maintained by Seller hereunder ceases to be reasonably available and commercially feasible in the commercial insurance market, Seller shall provide notice to Company, accompanied by a certificate from an independent insurance advisor of recognized national standing, certifying that such insurance is not reasonably available and commercially feasible in the commercial insurance market for electric generating plants of similar type, geographic location and capacity.  Upon receipt of such notice, Seller shall use Commercially Reasonable Efforts to obtain other insurance that would provide comparable protection against the risk to be insured.</w:t>
      </w:r>
    </w:p>
    <w:p w14:paraId="1C789D33" w14:textId="791E7381" w:rsidR="00B63F33" w:rsidRDefault="00B63F33" w:rsidP="003D41B1">
      <w:pPr>
        <w:pStyle w:val="ArticleL2"/>
      </w:pPr>
      <w:bookmarkStart w:id="487" w:name="_Toc147494907"/>
      <w:bookmarkStart w:id="488" w:name="_Toc288027299"/>
      <w:bookmarkStart w:id="489" w:name="_Toc433954039"/>
      <w:bookmarkStart w:id="490" w:name="_Toc433954197"/>
      <w:bookmarkStart w:id="491" w:name="_Ref149744083"/>
      <w:r w:rsidRPr="003D41B1">
        <w:rPr>
          <w:rStyle w:val="ArticleL2UnderlineChar"/>
        </w:rPr>
        <w:t>Application of Proceeds</w:t>
      </w:r>
      <w:bookmarkEnd w:id="487"/>
      <w:r>
        <w:t>.  Except to the extent otherwise required by the Financing Documents, Seller shall apply any insurance proceeds first to reconstruction of the Facility following any material casualty to the Facility that occurs more than eighteen (18) months prior to the Scheduled Termination Date.</w:t>
      </w:r>
      <w:bookmarkEnd w:id="488"/>
      <w:bookmarkEnd w:id="489"/>
      <w:bookmarkEnd w:id="490"/>
      <w:bookmarkEnd w:id="491"/>
    </w:p>
    <w:p w14:paraId="5A336BA4" w14:textId="098D36CB" w:rsidR="00B63F33" w:rsidRDefault="00B63F33" w:rsidP="002B7809">
      <w:pPr>
        <w:pStyle w:val="ArticleL1"/>
      </w:pPr>
      <w:bookmarkStart w:id="492" w:name="_Toc288027300"/>
      <w:bookmarkStart w:id="493" w:name="_Toc433954040"/>
      <w:bookmarkStart w:id="494" w:name="_Toc433954198"/>
      <w:bookmarkStart w:id="495" w:name="_Toc147494908"/>
      <w:bookmarkStart w:id="496" w:name="_Ref149742857"/>
      <w:bookmarkStart w:id="497" w:name="_Ref149808391"/>
      <w:bookmarkStart w:id="498" w:name="_Ref149808403"/>
      <w:bookmarkStart w:id="499" w:name="_Ref149808416"/>
      <w:r>
        <w:t>Indemnity</w:t>
      </w:r>
      <w:bookmarkEnd w:id="492"/>
      <w:bookmarkEnd w:id="493"/>
      <w:bookmarkEnd w:id="494"/>
      <w:bookmarkEnd w:id="495"/>
      <w:bookmarkEnd w:id="496"/>
      <w:bookmarkEnd w:id="497"/>
      <w:bookmarkEnd w:id="498"/>
      <w:bookmarkEnd w:id="499"/>
    </w:p>
    <w:p w14:paraId="26973023" w14:textId="4CAD49E1" w:rsidR="00B63F33" w:rsidRDefault="00B63F33" w:rsidP="003D41B1">
      <w:pPr>
        <w:pStyle w:val="ArticleL2"/>
      </w:pPr>
      <w:bookmarkStart w:id="500" w:name="_Toc147494909"/>
      <w:bookmarkStart w:id="501" w:name="_Toc433954041"/>
      <w:bookmarkStart w:id="502" w:name="_Toc433954199"/>
      <w:bookmarkStart w:id="503" w:name="_Ref149810520"/>
      <w:bookmarkStart w:id="504" w:name="_Ref149810523"/>
      <w:bookmarkStart w:id="505" w:name="_Ref149810738"/>
      <w:bookmarkStart w:id="506" w:name="_Toc288027301"/>
      <w:r w:rsidRPr="003D41B1">
        <w:rPr>
          <w:rStyle w:val="ArticleL2UnderlineChar"/>
        </w:rPr>
        <w:t>Indemnification: General</w:t>
      </w:r>
      <w:bookmarkEnd w:id="500"/>
      <w:r>
        <w:t>.  Each Party (the “</w:t>
      </w:r>
      <w:r w:rsidRPr="003D41B1">
        <w:rPr>
          <w:u w:val="single"/>
        </w:rPr>
        <w:t>Indemnifying Party</w:t>
      </w:r>
      <w:r>
        <w:t>”) shall indemnify, defend and hold the other Party (the “</w:t>
      </w:r>
      <w:r w:rsidRPr="003D41B1">
        <w:rPr>
          <w:u w:val="single"/>
        </w:rPr>
        <w:t>Indemnified Party</w:t>
      </w:r>
      <w:r>
        <w:t>”) harmless from and against all third-party claims, demands, lawsuits (including citizen suits), losses, liabilities, fines, penalties, and expenses (including attorneys’ fees) (</w:t>
      </w:r>
      <w:proofErr w:type="gramStart"/>
      <w:r>
        <w:t>generally, “</w:t>
      </w:r>
      <w:r w:rsidRPr="003D41B1">
        <w:rPr>
          <w:u w:val="single"/>
        </w:rPr>
        <w:t>Losses</w:t>
      </w:r>
      <w:r>
        <w:t>”</w:t>
      </w:r>
      <w:proofErr w:type="gramEnd"/>
      <w:r>
        <w:t>), to the extent proximately caused by</w:t>
      </w:r>
      <w:bookmarkEnd w:id="501"/>
      <w:bookmarkEnd w:id="502"/>
      <w:bookmarkEnd w:id="503"/>
      <w:bookmarkEnd w:id="504"/>
      <w:bookmarkEnd w:id="505"/>
      <w:r>
        <w:t xml:space="preserve"> </w:t>
      </w:r>
      <w:bookmarkStart w:id="507" w:name="_Toc433954042"/>
      <w:bookmarkStart w:id="508" w:name="_Toc433954200"/>
    </w:p>
    <w:p w14:paraId="111E656B" w14:textId="61657B7E" w:rsidR="00B63F33" w:rsidRDefault="00B63F33" w:rsidP="002B7809">
      <w:pPr>
        <w:pStyle w:val="ArticleL3"/>
      </w:pPr>
      <w:r>
        <w:t xml:space="preserve">a default under this PPA by the Indemnifying </w:t>
      </w:r>
      <w:proofErr w:type="gramStart"/>
      <w:r>
        <w:t>Party;</w:t>
      </w:r>
      <w:bookmarkStart w:id="509" w:name="_Toc433954043"/>
      <w:bookmarkStart w:id="510" w:name="_Toc433954201"/>
      <w:bookmarkEnd w:id="507"/>
      <w:bookmarkEnd w:id="508"/>
      <w:proofErr w:type="gramEnd"/>
    </w:p>
    <w:p w14:paraId="562574EA" w14:textId="12EE270B" w:rsidR="00B63F33" w:rsidRDefault="00B63F33" w:rsidP="002B7809">
      <w:pPr>
        <w:pStyle w:val="ArticleL3"/>
      </w:pPr>
      <w:r>
        <w:t xml:space="preserve">a violation or alleged violation of Applicable Laws by the Indemnifying </w:t>
      </w:r>
      <w:bookmarkStart w:id="511" w:name="_Toc433954044"/>
      <w:bookmarkStart w:id="512" w:name="_Toc433954202"/>
      <w:bookmarkEnd w:id="509"/>
      <w:bookmarkEnd w:id="510"/>
      <w:r w:rsidR="000009B6">
        <w:t>Party; and</w:t>
      </w:r>
    </w:p>
    <w:p w14:paraId="760313F0" w14:textId="4AA8335A" w:rsidR="00B63F33" w:rsidRDefault="00B63F33" w:rsidP="002B7809">
      <w:pPr>
        <w:pStyle w:val="ArticleL3"/>
      </w:pPr>
      <w:r>
        <w:t>the negligence, intentional acts and other misconduct of the directors, officers, employees, or agents of the Indemnifying Party.</w:t>
      </w:r>
      <w:bookmarkEnd w:id="511"/>
      <w:bookmarkEnd w:id="512"/>
      <w:r>
        <w:t xml:space="preserve">  </w:t>
      </w:r>
      <w:bookmarkEnd w:id="506"/>
    </w:p>
    <w:p w14:paraId="5BCC8AF7" w14:textId="682576C6" w:rsidR="00B63F33" w:rsidRDefault="00B63F33" w:rsidP="003D41B1">
      <w:pPr>
        <w:pStyle w:val="ArticleL2"/>
        <w:keepNext w:val="0"/>
      </w:pPr>
      <w:bookmarkStart w:id="513" w:name="_Toc147494910"/>
      <w:bookmarkStart w:id="514" w:name="_Toc433954045"/>
      <w:bookmarkStart w:id="515" w:name="_Toc433954203"/>
      <w:bookmarkStart w:id="516" w:name="_Toc288027302"/>
      <w:r w:rsidRPr="003D41B1">
        <w:rPr>
          <w:rStyle w:val="ArticleL2UnderlineChar"/>
        </w:rPr>
        <w:t>Indemnification: Environmental</w:t>
      </w:r>
      <w:bookmarkEnd w:id="513"/>
      <w:r>
        <w:t xml:space="preserve">.  Seller shall indemnify, defend and hold Company harmless from and against all Losses arising out of any claim by any Governmental Authority or other third party alleging Environmental Contamination at the </w:t>
      </w:r>
      <w:r>
        <w:lastRenderedPageBreak/>
        <w:t xml:space="preserve">Site and/or illegal disposal of Hazardous Materials off-site, regardless of merit and regardless of Seller’s responsibility therefor. </w:t>
      </w:r>
    </w:p>
    <w:p w14:paraId="72B5A599" w14:textId="5B40ABE1" w:rsidR="00B63F33" w:rsidRPr="003D41B1" w:rsidRDefault="00B63F33" w:rsidP="003D41B1">
      <w:pPr>
        <w:pStyle w:val="ArticleL2"/>
        <w:keepNext w:val="0"/>
      </w:pPr>
      <w:bookmarkStart w:id="517" w:name="_Toc147494911"/>
      <w:r w:rsidRPr="003D41B1">
        <w:rPr>
          <w:rStyle w:val="ArticleL2UnderlineChar"/>
        </w:rPr>
        <w:t>Indemnification: House Power</w:t>
      </w:r>
      <w:bookmarkEnd w:id="517"/>
      <w:r>
        <w:t>. If Seller obtains House Power from the Facility or a self-generation source other than the Facility, Seller shall: (i) at Company’s discretion, provide evidence reasonably satisfactory to Company that it is permitted to do so under Applicable Law, and (ii) shall indemn</w:t>
      </w:r>
      <w:r w:rsidRPr="003D41B1">
        <w:rPr>
          <w:color w:val="000000" w:themeColor="text1"/>
        </w:rPr>
        <w:t>ify, defend and hold Company harmless from and against all Losses. that may result therefrom.</w:t>
      </w:r>
    </w:p>
    <w:p w14:paraId="321B674F" w14:textId="72536AFD" w:rsidR="003F191C" w:rsidRPr="00E82A47" w:rsidRDefault="003F191C" w:rsidP="002B7809">
      <w:pPr>
        <w:pStyle w:val="ArticleL2"/>
      </w:pPr>
      <w:bookmarkStart w:id="518" w:name="_cp_change_125"/>
      <w:bookmarkStart w:id="519" w:name="_cp_change_122"/>
      <w:bookmarkStart w:id="520" w:name="_Toc147494912"/>
      <w:r w:rsidRPr="003D41B1">
        <w:rPr>
          <w:rStyle w:val="ArticleL2UnderlineChar"/>
        </w:rPr>
        <w:t>I</w:t>
      </w:r>
      <w:bookmarkEnd w:id="518"/>
      <w:r w:rsidRPr="003D41B1">
        <w:rPr>
          <w:rStyle w:val="ArticleL2UnderlineChar"/>
        </w:rPr>
        <w:t>ndemnification: Company Remote Start of Facility</w:t>
      </w:r>
      <w:bookmarkStart w:id="521" w:name="_cp_change_127"/>
      <w:bookmarkEnd w:id="519"/>
      <w:bookmarkEnd w:id="520"/>
      <w:r w:rsidRPr="00E82A47">
        <w:t>.  Should Company remotely start the Facility, Seller shall indemnify, defend and hold Company harmless from and against all Losses that may result therefrom.</w:t>
      </w:r>
      <w:bookmarkStart w:id="522" w:name="_cp_change_126"/>
      <w:bookmarkEnd w:id="521"/>
    </w:p>
    <w:p w14:paraId="3D9EDFD5" w14:textId="55A2A4B1" w:rsidR="00B63F33" w:rsidRDefault="00B63F33" w:rsidP="002B7809">
      <w:pPr>
        <w:pStyle w:val="ArticleL2"/>
      </w:pPr>
      <w:bookmarkStart w:id="523" w:name="_Toc147494913"/>
      <w:bookmarkEnd w:id="522"/>
      <w:r w:rsidRPr="003D41B1">
        <w:rPr>
          <w:rStyle w:val="ArticleL2UnderlineChar"/>
        </w:rPr>
        <w:t>Limitations</w:t>
      </w:r>
      <w:bookmarkEnd w:id="523"/>
      <w:r w:rsidR="00BD6D7E" w:rsidRPr="00BD6D7E">
        <w:t>.</w:t>
      </w:r>
      <w:r>
        <w:t xml:space="preserve">  </w:t>
      </w:r>
    </w:p>
    <w:p w14:paraId="12FDD4F5" w14:textId="77777777" w:rsidR="00B63F33" w:rsidRDefault="00B63F33" w:rsidP="002B7809">
      <w:pPr>
        <w:pStyle w:val="ArticleL3"/>
      </w:pPr>
      <w:r>
        <w:t xml:space="preserve">The foregoing indemnification obligations shall apply notwithstanding any contributory misconduct of the Indemnified Party, but the Indemnifying Party’s liability to indemnify the Indemnified Party shall be reduced in proportion to the percentage by which the Indemnified Party’s misconduct caused the damages.  </w:t>
      </w:r>
    </w:p>
    <w:p w14:paraId="2EDF8808" w14:textId="77777777" w:rsidR="00B63F33" w:rsidRDefault="00B63F33" w:rsidP="002B7809">
      <w:pPr>
        <w:pStyle w:val="ArticleL3"/>
      </w:pPr>
      <w:r>
        <w:t xml:space="preserve">Neither Party shall be indemnified for Losses resulting from the sole negligence or willful misconduct of the directors, officers, employees, or agents of such Party.  </w:t>
      </w:r>
    </w:p>
    <w:p w14:paraId="50726A41" w14:textId="1F41908E" w:rsidR="00B63F33" w:rsidRDefault="00B63F33" w:rsidP="002B7809">
      <w:pPr>
        <w:pStyle w:val="ArticleL3"/>
      </w:pPr>
      <w:r>
        <w:t xml:space="preserve">These indemnity provisions shall not be construed to relieve any insurer of its obligation to pay claims consistent with the provisions of a valid insurance policy.  Nothing in this </w:t>
      </w:r>
      <w:r w:rsidR="000A707F">
        <w:rPr>
          <w:u w:val="single"/>
        </w:rPr>
        <w:fldChar w:fldCharType="begin"/>
      </w:r>
      <w:r w:rsidR="000A707F">
        <w:instrText xml:space="preserve"> REF _Ref149808391 \w \h </w:instrText>
      </w:r>
      <w:r w:rsidR="000A707F">
        <w:rPr>
          <w:u w:val="single"/>
        </w:rPr>
      </w:r>
      <w:r w:rsidR="000A707F">
        <w:rPr>
          <w:u w:val="single"/>
        </w:rPr>
        <w:fldChar w:fldCharType="separate"/>
      </w:r>
      <w:r w:rsidR="000A707F">
        <w:t>Article 17</w:t>
      </w:r>
      <w:r w:rsidR="000A707F">
        <w:rPr>
          <w:u w:val="single"/>
        </w:rPr>
        <w:fldChar w:fldCharType="end"/>
      </w:r>
      <w:r>
        <w:t xml:space="preserve"> shall enlarge or relieve Seller or Company of any liability to the other for any breach of this PPA.</w:t>
      </w:r>
    </w:p>
    <w:p w14:paraId="5063272A" w14:textId="06C3B5D1" w:rsidR="00B63F33" w:rsidRDefault="00B63F33" w:rsidP="002B7809">
      <w:pPr>
        <w:pStyle w:val="ArticleL2"/>
      </w:pPr>
      <w:bookmarkStart w:id="524" w:name="_Toc147494914"/>
      <w:r w:rsidRPr="003D41B1">
        <w:rPr>
          <w:rStyle w:val="ArticleL2UnderlineChar"/>
        </w:rPr>
        <w:t>Procedures</w:t>
      </w:r>
      <w:bookmarkEnd w:id="524"/>
      <w:r>
        <w:t>.</w:t>
      </w:r>
      <w:bookmarkEnd w:id="514"/>
      <w:bookmarkEnd w:id="515"/>
      <w:r>
        <w:t xml:space="preserve">  </w:t>
      </w:r>
    </w:p>
    <w:p w14:paraId="06E25126" w14:textId="6672F3F4" w:rsidR="00B63F33" w:rsidRDefault="00B63F33" w:rsidP="002B7809">
      <w:pPr>
        <w:pStyle w:val="ArticleL3"/>
      </w:pPr>
      <w:r>
        <w:t xml:space="preserve">Promptly after receipt by a Party of any claim or notice of the commencement of any action, administrative, or legal proceeding, or investigation as to which the indemnity provided for in this </w:t>
      </w:r>
      <w:r w:rsidR="000A707F">
        <w:rPr>
          <w:u w:val="single"/>
        </w:rPr>
        <w:fldChar w:fldCharType="begin"/>
      </w:r>
      <w:r w:rsidR="000A707F">
        <w:instrText xml:space="preserve"> REF _Ref149808403 \w \h </w:instrText>
      </w:r>
      <w:r w:rsidR="000A707F">
        <w:rPr>
          <w:u w:val="single"/>
        </w:rPr>
      </w:r>
      <w:r w:rsidR="000A707F">
        <w:rPr>
          <w:u w:val="single"/>
        </w:rPr>
        <w:fldChar w:fldCharType="separate"/>
      </w:r>
      <w:r w:rsidR="000A707F">
        <w:t>Article 17</w:t>
      </w:r>
      <w:r w:rsidR="000A707F">
        <w:rPr>
          <w:u w:val="single"/>
        </w:rPr>
        <w:fldChar w:fldCharType="end"/>
      </w:r>
      <w:r>
        <w:t xml:space="preserve"> may apply, the Indemnified Party shall provide notice thereof to the Indemnifying Party; </w:t>
      </w:r>
      <w:r>
        <w:rPr>
          <w:i/>
        </w:rPr>
        <w:t>provided</w:t>
      </w:r>
      <w:r>
        <w:t xml:space="preserve"> that a delay in providing such notice shall limit the obligations of the Indemnifying Party only to the extent that such delay actually prejudices the ability of the Indemnifying Party to contest the claim or defend the proceeding.  </w:t>
      </w:r>
    </w:p>
    <w:p w14:paraId="334FDEF2" w14:textId="74B4AA07" w:rsidR="00B63F33" w:rsidRDefault="00B63F33" w:rsidP="002B7809">
      <w:pPr>
        <w:pStyle w:val="ArticleL3"/>
      </w:pPr>
      <w:r>
        <w:t xml:space="preserve">The Indemnifying Party shall assume the defense thereof with counsel designated by such Party and satisfactory to the Indemnified Party, </w:t>
      </w:r>
      <w:r>
        <w:rPr>
          <w:i/>
        </w:rPr>
        <w:t xml:space="preserve">provided, however, </w:t>
      </w:r>
      <w:r>
        <w:t>if the defendants in any such action include both the Indemnified Party and the Indemnifying Party, and the Indemnified Party shall reasonably conclude that there may be legal defenses available to it which are different from or additional to, or inconsistent with, those available to the Indemnifying Party, the Indemnified Party shall have the right to select and be represented by separate counsel, at the Indemnifying Party’s expense.</w:t>
      </w:r>
      <w:bookmarkEnd w:id="516"/>
    </w:p>
    <w:p w14:paraId="1A28AFFA" w14:textId="77777777" w:rsidR="00B63F33" w:rsidRDefault="00B63F33" w:rsidP="003D41B1">
      <w:pPr>
        <w:pStyle w:val="ArticleL3"/>
        <w:keepNext w:val="0"/>
      </w:pPr>
      <w:bookmarkStart w:id="525" w:name="_Toc288027303"/>
      <w:r>
        <w:t xml:space="preserve">If an Indemnifying Party fails to assume the defense of a claim meriting indemnification, the Indemnified Party may contest, settle, or pay such claim at the expense of the Indemnifying Party, </w:t>
      </w:r>
      <w:r>
        <w:rPr>
          <w:i/>
        </w:rPr>
        <w:t>provided, however, that</w:t>
      </w:r>
      <w:r>
        <w:t xml:space="preserve"> settlement or full payment of any such claim may be made only following consent of the Indemnifying Party or, absent </w:t>
      </w:r>
      <w:r>
        <w:lastRenderedPageBreak/>
        <w:t>such consent, written opinion of the Indemnified Party’s counsel that such claim is meritorious or otherwise warrants settlement.</w:t>
      </w:r>
      <w:bookmarkEnd w:id="525"/>
    </w:p>
    <w:p w14:paraId="11BD8947" w14:textId="32CEC5EA" w:rsidR="00B63F33" w:rsidRDefault="00B63F33" w:rsidP="003D41B1">
      <w:pPr>
        <w:pStyle w:val="ArticleL2"/>
      </w:pPr>
      <w:bookmarkStart w:id="526" w:name="_Toc147494915"/>
      <w:bookmarkStart w:id="527" w:name="_Toc288027304"/>
      <w:bookmarkStart w:id="528" w:name="_Toc433954046"/>
      <w:bookmarkStart w:id="529" w:name="_Toc433954204"/>
      <w:r w:rsidRPr="003D41B1">
        <w:rPr>
          <w:rStyle w:val="ArticleL2UnderlineChar"/>
        </w:rPr>
        <w:t>Amounts Owed</w:t>
      </w:r>
      <w:bookmarkEnd w:id="526"/>
      <w:r>
        <w:t xml:space="preserve">. In the event that a Party is obligated for indemnification under this </w:t>
      </w:r>
      <w:r w:rsidR="000A707F">
        <w:rPr>
          <w:u w:val="single"/>
        </w:rPr>
        <w:fldChar w:fldCharType="begin"/>
      </w:r>
      <w:r w:rsidR="000A707F">
        <w:instrText xml:space="preserve"> REF _Ref149808416 \w \h </w:instrText>
      </w:r>
      <w:r w:rsidR="000A707F">
        <w:rPr>
          <w:u w:val="single"/>
        </w:rPr>
      </w:r>
      <w:r w:rsidR="000A707F">
        <w:rPr>
          <w:u w:val="single"/>
        </w:rPr>
        <w:fldChar w:fldCharType="separate"/>
      </w:r>
      <w:r w:rsidR="000A707F">
        <w:t>Article 17</w:t>
      </w:r>
      <w:r w:rsidR="000A707F">
        <w:rPr>
          <w:u w:val="single"/>
        </w:rPr>
        <w:fldChar w:fldCharType="end"/>
      </w:r>
      <w:r>
        <w:t>, the amount owing to the Indemnified Party will be the amount of the Indemnified Party’s actual Losses net of any insurance proceeds received by the Indemnified Party following Commercially Reasonable Efforts by the Indemnified Party to obtain such insurance proceeds.</w:t>
      </w:r>
      <w:bookmarkEnd w:id="527"/>
      <w:bookmarkEnd w:id="528"/>
      <w:bookmarkEnd w:id="529"/>
    </w:p>
    <w:p w14:paraId="2F4820D7" w14:textId="60374103" w:rsidR="00B63F33" w:rsidRDefault="00B63F33" w:rsidP="002B7809">
      <w:pPr>
        <w:pStyle w:val="ArticleL1"/>
      </w:pPr>
      <w:bookmarkStart w:id="530" w:name="_Toc288027305"/>
      <w:bookmarkStart w:id="531" w:name="_Toc433954047"/>
      <w:bookmarkStart w:id="532" w:name="_Toc433954205"/>
      <w:bookmarkStart w:id="533" w:name="_Toc147494916"/>
      <w:r>
        <w:t>Lender Provisions</w:t>
      </w:r>
      <w:bookmarkEnd w:id="530"/>
      <w:bookmarkEnd w:id="531"/>
      <w:bookmarkEnd w:id="532"/>
      <w:bookmarkEnd w:id="533"/>
    </w:p>
    <w:p w14:paraId="7D20ACD9" w14:textId="42C60846" w:rsidR="00B63F33" w:rsidRDefault="00B63F33" w:rsidP="002B7809">
      <w:pPr>
        <w:pStyle w:val="ArticleL2"/>
      </w:pPr>
      <w:bookmarkStart w:id="534" w:name="_Toc147494917"/>
      <w:bookmarkStart w:id="535" w:name="_Toc433954048"/>
      <w:bookmarkStart w:id="536" w:name="_Toc433954206"/>
      <w:bookmarkStart w:id="537" w:name="_Ref149808443"/>
      <w:bookmarkStart w:id="538" w:name="_Ref149810572"/>
      <w:bookmarkStart w:id="539" w:name="_Toc288027306"/>
      <w:r w:rsidRPr="003D41B1">
        <w:rPr>
          <w:rStyle w:val="ArticleL2UnderlineChar"/>
        </w:rPr>
        <w:t>Accommodation of Facility Lender</w:t>
      </w:r>
      <w:bookmarkEnd w:id="534"/>
      <w:r>
        <w:t>.</w:t>
      </w:r>
      <w:bookmarkEnd w:id="535"/>
      <w:bookmarkEnd w:id="536"/>
      <w:bookmarkEnd w:id="537"/>
      <w:bookmarkEnd w:id="538"/>
      <w:r>
        <w:t xml:space="preserve">  </w:t>
      </w:r>
    </w:p>
    <w:p w14:paraId="6993EB61" w14:textId="0233F8F3" w:rsidR="00B63F33" w:rsidRDefault="00B63F33" w:rsidP="002B7809">
      <w:pPr>
        <w:pStyle w:val="ArticleL3"/>
      </w:pPr>
      <w:r>
        <w:t xml:space="preserve">Company shall provide such consents to collateral assignment, certifications, representations, estoppels, information or other documents, as may be reasonably requested by Seller in connection with the financing of the Facility consistent with the terms set forth in </w:t>
      </w:r>
      <w:r w:rsidR="000E4265" w:rsidRPr="000E4265">
        <w:rPr>
          <w:u w:val="single"/>
        </w:rPr>
        <w:t>Exhibit K - Lender Consent Provisions</w:t>
      </w:r>
      <w:r>
        <w:t xml:space="preserve"> (generally, a “</w:t>
      </w:r>
      <w:r>
        <w:rPr>
          <w:u w:val="single"/>
        </w:rPr>
        <w:t>Lender Consent</w:t>
      </w:r>
      <w:r>
        <w:t xml:space="preserve">”), </w:t>
      </w:r>
      <w:r>
        <w:rPr>
          <w:i/>
        </w:rPr>
        <w:t xml:space="preserve">provided, however, </w:t>
      </w:r>
      <w:r>
        <w:t xml:space="preserve">that in providing a Lender Consent, Company shall have no obligation to </w:t>
      </w:r>
    </w:p>
    <w:p w14:paraId="6AB9CD77" w14:textId="77777777" w:rsidR="00B63F33" w:rsidRDefault="00B63F33" w:rsidP="002B7809">
      <w:pPr>
        <w:pStyle w:val="ArticleL4"/>
      </w:pPr>
      <w:r>
        <w:t xml:space="preserve">modify the terms of this </w:t>
      </w:r>
      <w:proofErr w:type="gramStart"/>
      <w:r>
        <w:t>PPA;</w:t>
      </w:r>
      <w:proofErr w:type="gramEnd"/>
    </w:p>
    <w:p w14:paraId="750C3747" w14:textId="77777777" w:rsidR="00B63F33" w:rsidRDefault="00B63F33" w:rsidP="002B7809">
      <w:pPr>
        <w:pStyle w:val="ArticleL4"/>
      </w:pPr>
      <w:r>
        <w:t xml:space="preserve">provide any consent or enter into any agreement that has a Material Adverse Effect on any of Company’s rights, benefits, risks, or obligations under this </w:t>
      </w:r>
      <w:proofErr w:type="gramStart"/>
      <w:r>
        <w:t>PPA;</w:t>
      </w:r>
      <w:proofErr w:type="gramEnd"/>
    </w:p>
    <w:p w14:paraId="70B191F5" w14:textId="77777777" w:rsidR="00B63F33" w:rsidRDefault="00B63F33" w:rsidP="002B7809">
      <w:pPr>
        <w:pStyle w:val="ArticleL4"/>
      </w:pPr>
      <w:r>
        <w:t xml:space="preserve">transfer or release any property or property interests of </w:t>
      </w:r>
      <w:proofErr w:type="gramStart"/>
      <w:r>
        <w:t>Company;</w:t>
      </w:r>
      <w:proofErr w:type="gramEnd"/>
    </w:p>
    <w:p w14:paraId="673944E2" w14:textId="7B1EA804" w:rsidR="00B63F33" w:rsidRDefault="00B63F33" w:rsidP="002B7809">
      <w:pPr>
        <w:pStyle w:val="ArticleL4"/>
      </w:pPr>
      <w:r>
        <w:t>release or subordinate (or cause the release or subordination) of any lien on any property of Company for the benefit of Seller or the Facility Lender; or</w:t>
      </w:r>
    </w:p>
    <w:p w14:paraId="1B148D10" w14:textId="77777777" w:rsidR="00B63F33" w:rsidRDefault="00B63F33" w:rsidP="002B7809">
      <w:pPr>
        <w:pStyle w:val="ArticleL4"/>
      </w:pPr>
      <w:r>
        <w:t xml:space="preserve">permit any lien to be placed on property of Company.   </w:t>
      </w:r>
    </w:p>
    <w:p w14:paraId="7E74550F" w14:textId="6220A374" w:rsidR="00B63F33" w:rsidRDefault="00B63F33" w:rsidP="002B7809">
      <w:pPr>
        <w:pStyle w:val="ArticleL3"/>
      </w:pPr>
      <w:r>
        <w:t xml:space="preserve">Seller shall reimburse, or shall cause the Facility Lender to reimburse, Company for the direct expenses (including the fees and expenses of counsel) incurred by Company in the preparation, negotiation, execution and/or delivery of each Lender Consent and any documents requested by Seller or the Facility Lender pursuant to this </w:t>
      </w:r>
      <w:r>
        <w:rPr>
          <w:u w:val="single"/>
        </w:rPr>
        <w:t xml:space="preserve">Section </w:t>
      </w:r>
      <w:r w:rsidR="000A707F">
        <w:rPr>
          <w:u w:val="single"/>
        </w:rPr>
        <w:fldChar w:fldCharType="begin"/>
      </w:r>
      <w:r w:rsidR="000A707F">
        <w:rPr>
          <w:u w:val="single"/>
        </w:rPr>
        <w:instrText xml:space="preserve"> REF _Ref149808443 \w \h </w:instrText>
      </w:r>
      <w:r w:rsidR="000A707F">
        <w:rPr>
          <w:u w:val="single"/>
        </w:rPr>
      </w:r>
      <w:r w:rsidR="000A707F">
        <w:rPr>
          <w:u w:val="single"/>
        </w:rPr>
        <w:fldChar w:fldCharType="separate"/>
      </w:r>
      <w:r w:rsidR="000A707F">
        <w:rPr>
          <w:u w:val="single"/>
        </w:rPr>
        <w:t>18.1</w:t>
      </w:r>
      <w:r w:rsidR="000A707F">
        <w:rPr>
          <w:u w:val="single"/>
        </w:rPr>
        <w:fldChar w:fldCharType="end"/>
      </w:r>
      <w:r>
        <w:t xml:space="preserve">.  </w:t>
      </w:r>
      <w:bookmarkEnd w:id="539"/>
    </w:p>
    <w:p w14:paraId="4FF00DC5" w14:textId="5D28322E" w:rsidR="00B63F33" w:rsidRDefault="00B33CBD" w:rsidP="002B7809">
      <w:pPr>
        <w:pStyle w:val="ArticleL2"/>
      </w:pPr>
      <w:bookmarkStart w:id="540" w:name="_Toc147494918"/>
      <w:bookmarkStart w:id="541" w:name="_Toc433954049"/>
      <w:bookmarkStart w:id="542" w:name="_Toc433954207"/>
      <w:bookmarkStart w:id="543" w:name="_Toc288027307"/>
      <w:r w:rsidRPr="003D41B1">
        <w:rPr>
          <w:rStyle w:val="ArticleL2UnderlineChar"/>
        </w:rPr>
        <w:t>Lender Notices</w:t>
      </w:r>
      <w:bookmarkEnd w:id="540"/>
      <w:r>
        <w:t>.</w:t>
      </w:r>
      <w:bookmarkEnd w:id="541"/>
      <w:bookmarkEnd w:id="542"/>
      <w:r>
        <w:t xml:space="preserve">  </w:t>
      </w:r>
    </w:p>
    <w:p w14:paraId="474D1901" w14:textId="4C23673A" w:rsidR="00B63F33" w:rsidRDefault="00B63F33" w:rsidP="009D7C78">
      <w:pPr>
        <w:pStyle w:val="ArticleL3"/>
        <w:keepNext w:val="0"/>
      </w:pPr>
      <w:bookmarkStart w:id="544" w:name="_Ref149810582"/>
      <w:r>
        <w:t xml:space="preserve">Seller shall provide Company with a notice identifying the Facility Lender (“Lender Notice”) and providing appropriate contact information for the Facility Lender.  Following receipt of such notice, Company shall provide to the Facility Lender a copy of each notice of alleged default delivered to Seller under </w:t>
      </w:r>
      <w:r>
        <w:rPr>
          <w:u w:val="single"/>
        </w:rPr>
        <w:t xml:space="preserve">Section </w:t>
      </w:r>
      <w:r w:rsidR="000A707F">
        <w:rPr>
          <w:u w:val="single"/>
        </w:rPr>
        <w:fldChar w:fldCharType="begin"/>
      </w:r>
      <w:r w:rsidR="000A707F">
        <w:rPr>
          <w:u w:val="single"/>
        </w:rPr>
        <w:instrText xml:space="preserve"> REF _Ref149808454 \w \h </w:instrText>
      </w:r>
      <w:r w:rsidR="000A707F">
        <w:rPr>
          <w:u w:val="single"/>
        </w:rPr>
      </w:r>
      <w:r w:rsidR="000A707F">
        <w:rPr>
          <w:u w:val="single"/>
        </w:rPr>
        <w:fldChar w:fldCharType="separate"/>
      </w:r>
      <w:r w:rsidR="000A707F">
        <w:rPr>
          <w:u w:val="single"/>
        </w:rPr>
        <w:t>12.1</w:t>
      </w:r>
      <w:r w:rsidR="000A707F">
        <w:rPr>
          <w:u w:val="single"/>
        </w:rPr>
        <w:fldChar w:fldCharType="end"/>
      </w:r>
      <w:r>
        <w:t xml:space="preserve"> or </w:t>
      </w:r>
      <w:r>
        <w:rPr>
          <w:u w:val="single"/>
        </w:rPr>
        <w:t xml:space="preserve">Section </w:t>
      </w:r>
      <w:r w:rsidR="000A707F">
        <w:rPr>
          <w:u w:val="single"/>
        </w:rPr>
        <w:fldChar w:fldCharType="begin"/>
      </w:r>
      <w:r w:rsidR="000A707F">
        <w:rPr>
          <w:u w:val="single"/>
        </w:rPr>
        <w:instrText xml:space="preserve"> REF _Ref149808463 \w \h </w:instrText>
      </w:r>
      <w:r w:rsidR="000A707F">
        <w:rPr>
          <w:u w:val="single"/>
        </w:rPr>
      </w:r>
      <w:r w:rsidR="000A707F">
        <w:rPr>
          <w:u w:val="single"/>
        </w:rPr>
        <w:fldChar w:fldCharType="separate"/>
      </w:r>
      <w:r w:rsidR="000A707F">
        <w:rPr>
          <w:u w:val="single"/>
        </w:rPr>
        <w:t>12.2</w:t>
      </w:r>
      <w:r w:rsidR="000A707F">
        <w:rPr>
          <w:u w:val="single"/>
        </w:rPr>
        <w:fldChar w:fldCharType="end"/>
      </w:r>
      <w:r>
        <w:t>, and Company will accept a cure thereof performed by the Facility Lender, so long as the cure is accomplished within the applicable cure period set forth in this PPA or the relevant Lender Consent.</w:t>
      </w:r>
      <w:bookmarkEnd w:id="543"/>
      <w:bookmarkEnd w:id="544"/>
    </w:p>
    <w:p w14:paraId="73C51E6A" w14:textId="5EAF8F37" w:rsidR="00B63F33" w:rsidRDefault="00B63F33" w:rsidP="009D7C78">
      <w:pPr>
        <w:pStyle w:val="ArticleL3"/>
        <w:keepNext w:val="0"/>
      </w:pPr>
      <w:bookmarkStart w:id="545" w:name="_Toc288027308"/>
      <w:r>
        <w:lastRenderedPageBreak/>
        <w:t>Within ten (10) Days following Seller’s receipt of each notice of default or Facility Lender’s intent to exercise any remedies under the Financing Documents, Seller shall deliver a copy of such notice to Company.</w:t>
      </w:r>
      <w:bookmarkEnd w:id="545"/>
    </w:p>
    <w:p w14:paraId="6C2CCDA7" w14:textId="779FDB6A" w:rsidR="00B63F33" w:rsidRDefault="00B63F33" w:rsidP="002B7809">
      <w:pPr>
        <w:pStyle w:val="ArticleL1"/>
      </w:pPr>
      <w:bookmarkStart w:id="546" w:name="_Toc288027310"/>
      <w:bookmarkStart w:id="547" w:name="_Toc433954050"/>
      <w:bookmarkStart w:id="548" w:name="_Toc433954208"/>
      <w:bookmarkStart w:id="549" w:name="_Toc147494919"/>
      <w:bookmarkStart w:id="550" w:name="_Ref149808478"/>
      <w:r>
        <w:t>Assignment</w:t>
      </w:r>
      <w:bookmarkEnd w:id="546"/>
      <w:bookmarkEnd w:id="547"/>
      <w:bookmarkEnd w:id="548"/>
      <w:bookmarkEnd w:id="549"/>
      <w:bookmarkEnd w:id="550"/>
    </w:p>
    <w:p w14:paraId="0DDA7755" w14:textId="4AB1602D" w:rsidR="00B63F33" w:rsidRDefault="00B63F33" w:rsidP="002B7809">
      <w:pPr>
        <w:pStyle w:val="ArticleL2"/>
      </w:pPr>
      <w:bookmarkStart w:id="551" w:name="_Toc147494920"/>
      <w:bookmarkStart w:id="552" w:name="_Toc433954051"/>
      <w:bookmarkStart w:id="553" w:name="_Toc433954209"/>
      <w:bookmarkStart w:id="554" w:name="_Ref149743583"/>
      <w:bookmarkStart w:id="555" w:name="_Ref149808521"/>
      <w:bookmarkStart w:id="556" w:name="_Toc288027311"/>
      <w:r w:rsidRPr="009D7C78">
        <w:rPr>
          <w:rStyle w:val="ArticleL2UnderlineChar"/>
        </w:rPr>
        <w:t>Assignment by Seller</w:t>
      </w:r>
      <w:bookmarkEnd w:id="551"/>
      <w:r>
        <w:t>.</w:t>
      </w:r>
      <w:bookmarkEnd w:id="552"/>
      <w:bookmarkEnd w:id="553"/>
      <w:bookmarkEnd w:id="554"/>
      <w:bookmarkEnd w:id="555"/>
      <w:r>
        <w:t xml:space="preserve">  </w:t>
      </w:r>
    </w:p>
    <w:p w14:paraId="1120AE81" w14:textId="1E5119AF" w:rsidR="00B63F33" w:rsidRPr="004A6148" w:rsidRDefault="00B63F33" w:rsidP="009D7C78">
      <w:pPr>
        <w:pStyle w:val="ArticleL3"/>
        <w:keepNext w:val="0"/>
      </w:pPr>
      <w:r>
        <w:t xml:space="preserve">Seller shall not sell, exchange or otherwise transfer the Facility or any material </w:t>
      </w:r>
      <w:proofErr w:type="gramStart"/>
      <w:r>
        <w:t>portion</w:t>
      </w:r>
      <w:proofErr w:type="gramEnd"/>
      <w:r>
        <w:t xml:space="preserve"> thereof to any third party, nor shall Seller undergo any Change of Control (whether voluntary or by operation of law), absent the prior written consent of Company, which shall not be unreasonably withheld or delayed.  Company shall have no obligation to </w:t>
      </w:r>
      <w:proofErr w:type="gramStart"/>
      <w:r>
        <w:t>provide</w:t>
      </w:r>
      <w:proofErr w:type="gramEnd"/>
      <w:r>
        <w:t xml:space="preserve"> any consent under </w:t>
      </w:r>
      <w:r w:rsidRPr="004A6148">
        <w:t xml:space="preserve">this </w:t>
      </w:r>
      <w:r w:rsidR="000A707F" w:rsidRPr="004A6148">
        <w:rPr>
          <w:u w:val="single"/>
        </w:rPr>
        <w:fldChar w:fldCharType="begin"/>
      </w:r>
      <w:r w:rsidR="000A707F" w:rsidRPr="004A6148">
        <w:instrText xml:space="preserve"> REF _Ref149808478 \w \h </w:instrText>
      </w:r>
      <w:r w:rsidR="000A707F" w:rsidRPr="004A6148">
        <w:rPr>
          <w:u w:val="single"/>
        </w:rPr>
      </w:r>
      <w:r w:rsidR="000A707F" w:rsidRPr="004A6148">
        <w:rPr>
          <w:u w:val="single"/>
        </w:rPr>
        <w:fldChar w:fldCharType="separate"/>
      </w:r>
      <w:r w:rsidR="000A707F" w:rsidRPr="004A6148">
        <w:t>Article 19</w:t>
      </w:r>
      <w:r w:rsidR="000A707F" w:rsidRPr="004A6148">
        <w:rPr>
          <w:u w:val="single"/>
        </w:rPr>
        <w:fldChar w:fldCharType="end"/>
      </w:r>
      <w:r w:rsidRPr="004A6148">
        <w:t xml:space="preserve"> unless </w:t>
      </w:r>
    </w:p>
    <w:p w14:paraId="2DD34E4D" w14:textId="59908C3F" w:rsidR="00B63F33" w:rsidRDefault="00B63F33" w:rsidP="009D7C78">
      <w:pPr>
        <w:pStyle w:val="ArticleL4"/>
        <w:keepNext w:val="0"/>
      </w:pPr>
      <w:r w:rsidRPr="004A6148">
        <w:t xml:space="preserve">Seller has complied with </w:t>
      </w:r>
      <w:r w:rsidRPr="004A6148">
        <w:rPr>
          <w:u w:val="single"/>
        </w:rPr>
        <w:t>Sections </w:t>
      </w:r>
      <w:r w:rsidR="000A707F" w:rsidRPr="004A6148">
        <w:rPr>
          <w:u w:val="single"/>
        </w:rPr>
        <w:fldChar w:fldCharType="begin"/>
      </w:r>
      <w:r w:rsidR="000A707F" w:rsidRPr="004A6148">
        <w:rPr>
          <w:u w:val="single"/>
        </w:rPr>
        <w:instrText xml:space="preserve"> REF _Hlk48743701 \w \h </w:instrText>
      </w:r>
      <w:r w:rsidR="000A707F" w:rsidRPr="004A6148">
        <w:rPr>
          <w:u w:val="single"/>
        </w:rPr>
      </w:r>
      <w:r w:rsidR="000A707F" w:rsidRPr="004A6148">
        <w:rPr>
          <w:u w:val="single"/>
        </w:rPr>
        <w:fldChar w:fldCharType="separate"/>
      </w:r>
      <w:r w:rsidR="000A707F" w:rsidRPr="004A6148">
        <w:rPr>
          <w:u w:val="single"/>
        </w:rPr>
        <w:t>19.3</w:t>
      </w:r>
      <w:r w:rsidR="000A707F" w:rsidRPr="004A6148">
        <w:rPr>
          <w:u w:val="single"/>
        </w:rPr>
        <w:fldChar w:fldCharType="end"/>
      </w:r>
      <w:r w:rsidRPr="004A6148">
        <w:t xml:space="preserve">, </w:t>
      </w:r>
      <w:r w:rsidR="000A707F" w:rsidRPr="00051FE7">
        <w:rPr>
          <w:u w:val="single"/>
        </w:rPr>
        <w:fldChar w:fldCharType="begin"/>
      </w:r>
      <w:r w:rsidR="000A707F" w:rsidRPr="00051FE7">
        <w:rPr>
          <w:u w:val="single"/>
        </w:rPr>
        <w:instrText xml:space="preserve"> REF _Ref149808496 \w \h </w:instrText>
      </w:r>
      <w:r w:rsidR="00051FE7">
        <w:rPr>
          <w:u w:val="single"/>
        </w:rPr>
        <w:instrText xml:space="preserve"> \* MERGEFORMAT </w:instrText>
      </w:r>
      <w:r w:rsidR="000A707F" w:rsidRPr="00051FE7">
        <w:rPr>
          <w:u w:val="single"/>
        </w:rPr>
      </w:r>
      <w:r w:rsidR="000A707F" w:rsidRPr="00051FE7">
        <w:rPr>
          <w:u w:val="single"/>
        </w:rPr>
        <w:fldChar w:fldCharType="separate"/>
      </w:r>
      <w:r w:rsidR="000A707F" w:rsidRPr="00051FE7">
        <w:rPr>
          <w:u w:val="single"/>
        </w:rPr>
        <w:t>19.4</w:t>
      </w:r>
      <w:r w:rsidR="000A707F" w:rsidRPr="00051FE7">
        <w:rPr>
          <w:u w:val="single"/>
        </w:rPr>
        <w:fldChar w:fldCharType="end"/>
      </w:r>
      <w:r w:rsidR="00051FE7">
        <w:t>,</w:t>
      </w:r>
      <w:r w:rsidRPr="004A6148">
        <w:t xml:space="preserve"> and </w:t>
      </w:r>
      <w:r w:rsidR="000A707F" w:rsidRPr="00051FE7">
        <w:rPr>
          <w:u w:val="single"/>
        </w:rPr>
        <w:fldChar w:fldCharType="begin"/>
      </w:r>
      <w:r w:rsidR="000A707F" w:rsidRPr="00051FE7">
        <w:rPr>
          <w:u w:val="single"/>
        </w:rPr>
        <w:instrText xml:space="preserve"> REF _Ref149744141 \w \h </w:instrText>
      </w:r>
      <w:r w:rsidR="00051FE7" w:rsidRPr="00051FE7">
        <w:rPr>
          <w:u w:val="single"/>
        </w:rPr>
        <w:instrText xml:space="preserve"> \* MERGEFORMAT </w:instrText>
      </w:r>
      <w:r w:rsidR="000A707F" w:rsidRPr="00051FE7">
        <w:rPr>
          <w:u w:val="single"/>
        </w:rPr>
      </w:r>
      <w:r w:rsidR="000A707F" w:rsidRPr="00051FE7">
        <w:rPr>
          <w:u w:val="single"/>
        </w:rPr>
        <w:fldChar w:fldCharType="separate"/>
      </w:r>
      <w:r w:rsidR="000A707F" w:rsidRPr="00051FE7">
        <w:rPr>
          <w:u w:val="single"/>
        </w:rPr>
        <w:t>19.5</w:t>
      </w:r>
      <w:r w:rsidR="000A707F" w:rsidRPr="00051FE7">
        <w:rPr>
          <w:u w:val="single"/>
        </w:rPr>
        <w:fldChar w:fldCharType="end"/>
      </w:r>
      <w:r w:rsidRPr="004A6148">
        <w:t>, if and as applicable</w:t>
      </w:r>
      <w:r>
        <w:t>;</w:t>
      </w:r>
    </w:p>
    <w:p w14:paraId="1E6FA5BC" w14:textId="77777777" w:rsidR="00B63F33" w:rsidRDefault="00B63F33" w:rsidP="009D7C78">
      <w:pPr>
        <w:pStyle w:val="ArticleL4"/>
        <w:keepNext w:val="0"/>
      </w:pPr>
      <w:r>
        <w:t xml:space="preserve">Seller has provided to Company such information concerning the transferee’s direct and indirect ownership as Company reasonably </w:t>
      </w:r>
      <w:proofErr w:type="gramStart"/>
      <w:r>
        <w:t>requests;</w:t>
      </w:r>
      <w:proofErr w:type="gramEnd"/>
    </w:p>
    <w:p w14:paraId="3C35D4E5" w14:textId="77777777" w:rsidR="00B63F33" w:rsidRDefault="00B63F33" w:rsidP="009D7C78">
      <w:pPr>
        <w:pStyle w:val="ArticleL4"/>
        <w:keepNext w:val="0"/>
      </w:pPr>
      <w:r>
        <w:t xml:space="preserve">the transferee has substantial experience in the operation of power generation facilities akin to the Facility, either directly, through its affiliates or through an operator acceptable to </w:t>
      </w:r>
      <w:proofErr w:type="gramStart"/>
      <w:r>
        <w:t>Company;</w:t>
      </w:r>
      <w:proofErr w:type="gramEnd"/>
    </w:p>
    <w:p w14:paraId="7835267C" w14:textId="77777777" w:rsidR="00B63F33" w:rsidRDefault="00B63F33" w:rsidP="009D7C78">
      <w:pPr>
        <w:pStyle w:val="ArticleL4"/>
        <w:keepNext w:val="0"/>
      </w:pPr>
      <w:r>
        <w:t xml:space="preserve">the transferee (together with its parents and affiliates) possesses an Investment Grade Credit Rating or other creditworthiness satisfactory to </w:t>
      </w:r>
      <w:proofErr w:type="gramStart"/>
      <w:r>
        <w:t>Company;</w:t>
      </w:r>
      <w:proofErr w:type="gramEnd"/>
      <w:r>
        <w:t xml:space="preserve"> </w:t>
      </w:r>
    </w:p>
    <w:p w14:paraId="2A126653" w14:textId="31FD1B50" w:rsidR="00B63F33" w:rsidRDefault="00B63F33" w:rsidP="009D7C78">
      <w:pPr>
        <w:pStyle w:val="ArticleL4"/>
        <w:keepNext w:val="0"/>
      </w:pPr>
      <w:r>
        <w:t xml:space="preserve">Seller has provided to Company at least thirty (30) Days’ prior notice of the transaction; and </w:t>
      </w:r>
    </w:p>
    <w:p w14:paraId="1EEC3A9F" w14:textId="77777777" w:rsidR="00B63F33" w:rsidRDefault="00B63F33" w:rsidP="009D7C78">
      <w:pPr>
        <w:pStyle w:val="ArticleL4"/>
        <w:keepNext w:val="0"/>
      </w:pPr>
      <w:r>
        <w:t>Seller pays or reimburses Company for the direct expenses (including the fees and expenses of counsel) incurred by Company in connection with the transaction.</w:t>
      </w:r>
    </w:p>
    <w:p w14:paraId="6791AFA4" w14:textId="5506996A" w:rsidR="00B63F33" w:rsidRDefault="00B63F33" w:rsidP="002B7809">
      <w:pPr>
        <w:pStyle w:val="ArticleL3"/>
      </w:pPr>
      <w:r>
        <w:t>Any Change of Control or sale, transfer, or assignment of any interest in the Facility completed without fulfilling the requirements of this PPA shall be null, void and a breach of this PPA.</w:t>
      </w:r>
    </w:p>
    <w:p w14:paraId="5B0C042A" w14:textId="18D3FF4D" w:rsidR="00B63F33" w:rsidRDefault="00B63F33" w:rsidP="002B7809">
      <w:pPr>
        <w:pStyle w:val="ArticleL3"/>
      </w:pPr>
      <w:r>
        <w:t xml:space="preserve">Seller shall assign this PPA to any successor owner of the </w:t>
      </w:r>
      <w:r w:rsidR="007C67AC">
        <w:t>Facility and</w:t>
      </w:r>
      <w:r>
        <w:t xml:space="preserve"> shall cause such successor to assume all obligations of Seller (accrued and prospective) hereunder via a writing reasonably satisfactory to Company.   Seller also may assign this PPA for collateral purposes to any Facility </w:t>
      </w:r>
      <w:r w:rsidR="007C67AC">
        <w:t>Lender and</w:t>
      </w:r>
      <w:r>
        <w:t xml:space="preserve"> may subcontract some or </w:t>
      </w:r>
      <w:proofErr w:type="gramStart"/>
      <w:r>
        <w:t>all of</w:t>
      </w:r>
      <w:proofErr w:type="gramEnd"/>
      <w:r>
        <w:t xml:space="preserve"> its duties under this PPA, upon notice to but without the consent of Company.</w:t>
      </w:r>
    </w:p>
    <w:p w14:paraId="77089413" w14:textId="62243D4C" w:rsidR="00B63F33" w:rsidRDefault="00B63F33" w:rsidP="002B7809">
      <w:pPr>
        <w:pStyle w:val="ArticleL3"/>
      </w:pPr>
      <w:r>
        <w:t xml:space="preserve">Except as </w:t>
      </w:r>
      <w:proofErr w:type="gramStart"/>
      <w:r>
        <w:t>permitted</w:t>
      </w:r>
      <w:proofErr w:type="gramEnd"/>
      <w:r>
        <w:t xml:space="preserve"> in this </w:t>
      </w:r>
      <w:r>
        <w:rPr>
          <w:u w:val="single"/>
        </w:rPr>
        <w:t xml:space="preserve">Section </w:t>
      </w:r>
      <w:r w:rsidR="000A707F">
        <w:rPr>
          <w:u w:val="single"/>
        </w:rPr>
        <w:fldChar w:fldCharType="begin"/>
      </w:r>
      <w:r w:rsidR="000A707F">
        <w:rPr>
          <w:u w:val="single"/>
        </w:rPr>
        <w:instrText xml:space="preserve"> REF _Ref149808521 \w \h </w:instrText>
      </w:r>
      <w:r w:rsidR="000A707F">
        <w:rPr>
          <w:u w:val="single"/>
        </w:rPr>
      </w:r>
      <w:r w:rsidR="000A707F">
        <w:rPr>
          <w:u w:val="single"/>
        </w:rPr>
        <w:fldChar w:fldCharType="separate"/>
      </w:r>
      <w:r w:rsidR="000A707F">
        <w:rPr>
          <w:u w:val="single"/>
        </w:rPr>
        <w:t>19.1</w:t>
      </w:r>
      <w:r w:rsidR="000A707F">
        <w:rPr>
          <w:u w:val="single"/>
        </w:rPr>
        <w:fldChar w:fldCharType="end"/>
      </w:r>
      <w:r>
        <w:t xml:space="preserve">, Seller may not assign this PPA or any portion hereof.  No assignment shall relieve Seller of its obligations under this PPA, nor impair any security posted by Seller unless such security is replaced </w:t>
      </w:r>
      <w:proofErr w:type="gramStart"/>
      <w:r>
        <w:t xml:space="preserve">in </w:t>
      </w:r>
      <w:r>
        <w:lastRenderedPageBreak/>
        <w:t>accordance with</w:t>
      </w:r>
      <w:proofErr w:type="gramEnd"/>
      <w:r>
        <w:t xml:space="preserve"> </w:t>
      </w:r>
      <w:r w:rsidR="000A707F">
        <w:rPr>
          <w:u w:val="single"/>
        </w:rPr>
        <w:fldChar w:fldCharType="begin"/>
      </w:r>
      <w:r w:rsidR="000A707F">
        <w:instrText xml:space="preserve"> REF _Ref149808532 \w \h </w:instrText>
      </w:r>
      <w:r w:rsidR="000A707F">
        <w:rPr>
          <w:u w:val="single"/>
        </w:rPr>
      </w:r>
      <w:r w:rsidR="000A707F">
        <w:rPr>
          <w:u w:val="single"/>
        </w:rPr>
        <w:fldChar w:fldCharType="separate"/>
      </w:r>
      <w:r w:rsidR="000A707F">
        <w:t>Article 11</w:t>
      </w:r>
      <w:r w:rsidR="000A707F">
        <w:rPr>
          <w:u w:val="single"/>
        </w:rPr>
        <w:fldChar w:fldCharType="end"/>
      </w:r>
      <w:r>
        <w:t>.  Before this PPA is assigned by Seller, the assignee must first obtain such approvals as may be required by all applicable Governmental Authorities.</w:t>
      </w:r>
    </w:p>
    <w:p w14:paraId="1F258E6C" w14:textId="7EF05ACD" w:rsidR="00B63F33" w:rsidRDefault="00B63F33" w:rsidP="002B7809">
      <w:pPr>
        <w:pStyle w:val="ArticleL2"/>
      </w:pPr>
      <w:bookmarkStart w:id="557" w:name="_Toc147494921"/>
      <w:bookmarkStart w:id="558" w:name="_Toc433954052"/>
      <w:bookmarkStart w:id="559" w:name="_Toc433954210"/>
      <w:bookmarkStart w:id="560" w:name="_Ref149744015"/>
      <w:r w:rsidRPr="009D7C78">
        <w:rPr>
          <w:rStyle w:val="ArticleL2UnderlineChar"/>
        </w:rPr>
        <w:t>Assignment by Company</w:t>
      </w:r>
      <w:bookmarkEnd w:id="557"/>
      <w:r>
        <w:t>.</w:t>
      </w:r>
      <w:bookmarkEnd w:id="558"/>
      <w:bookmarkEnd w:id="559"/>
      <w:bookmarkEnd w:id="560"/>
      <w:r>
        <w:t xml:space="preserve">  </w:t>
      </w:r>
    </w:p>
    <w:p w14:paraId="7ED57FE6" w14:textId="28AF0CD0" w:rsidR="00B63F33" w:rsidRPr="00922467" w:rsidRDefault="00B63F33" w:rsidP="002B7809">
      <w:pPr>
        <w:pStyle w:val="ArticleL3"/>
      </w:pPr>
      <w:r w:rsidRPr="00922467">
        <w:t>Company may assign this PPA to any Affiliate, or to any successor that provides retail electric service in all or substantially all of Company’s service territory and is subject to rate and quality service regulation under the jurisdiction of the MPUC/NDPSC.  Any other assignment of this PPA by Company shall require the prior written consent of Seller, not to be unreasonably withheld or delayed.</w:t>
      </w:r>
      <w:bookmarkEnd w:id="556"/>
    </w:p>
    <w:p w14:paraId="5F98A35F" w14:textId="2DFEB2CC" w:rsidR="00B63F33" w:rsidRDefault="00B63F33" w:rsidP="009D7C78">
      <w:pPr>
        <w:pStyle w:val="ArticleL3"/>
        <w:keepNext w:val="0"/>
      </w:pPr>
      <w:r>
        <w:t xml:space="preserve">If an assignee of Company possesses a Credit Rating equal to or better than Investment Grade or Company’s Credit Rating as of the date of assignment (whichever is higher), Seller shall release Company from its obligations hereunder if </w:t>
      </w:r>
      <w:r w:rsidR="007C67AC">
        <w:t>so,</w:t>
      </w:r>
      <w:r>
        <w:t xml:space="preserve"> requested by Company.  Except for the foregoing, no assignment shall relieve Company of its obligations under this PPA.</w:t>
      </w:r>
    </w:p>
    <w:p w14:paraId="7DC0676C" w14:textId="77777777" w:rsidR="00B63F33" w:rsidRDefault="00B63F33" w:rsidP="009D7C78">
      <w:pPr>
        <w:pStyle w:val="ArticleL3"/>
        <w:keepNext w:val="0"/>
      </w:pPr>
      <w:r>
        <w:t xml:space="preserve">Any assignee of Company shall assume all obligations of Company (accrued and prospective) hereunder via a writing reasonably satisfactory to Seller.  Before this PPA is assigned by Company, the assignee must first obtain such approvals as may be required by all applicable Governmental Authorities. </w:t>
      </w:r>
    </w:p>
    <w:p w14:paraId="594C9A5C" w14:textId="0C45A91D" w:rsidR="00B63F33" w:rsidRDefault="00B63F33" w:rsidP="002B7809">
      <w:pPr>
        <w:pStyle w:val="ArticleL2"/>
      </w:pPr>
      <w:bookmarkStart w:id="561" w:name="_Toc147494922"/>
      <w:bookmarkStart w:id="562" w:name="_Hlk48743701"/>
      <w:bookmarkStart w:id="563" w:name="_Toc433954053"/>
      <w:bookmarkStart w:id="564" w:name="_Toc433954211"/>
      <w:bookmarkStart w:id="565" w:name="_Hlk46493179"/>
      <w:bookmarkStart w:id="566" w:name="_Toc433954054"/>
      <w:bookmarkStart w:id="567" w:name="_Toc433954212"/>
      <w:bookmarkStart w:id="568" w:name="_Toc288027312"/>
      <w:r w:rsidRPr="009D7C78">
        <w:rPr>
          <w:rStyle w:val="ArticleL2UnderlineChar"/>
        </w:rPr>
        <w:t>ROFO</w:t>
      </w:r>
      <w:bookmarkEnd w:id="561"/>
      <w:r>
        <w:t>.</w:t>
      </w:r>
      <w:bookmarkEnd w:id="562"/>
      <w:bookmarkEnd w:id="563"/>
      <w:bookmarkEnd w:id="564"/>
      <w:r>
        <w:t xml:space="preserve">  </w:t>
      </w:r>
    </w:p>
    <w:p w14:paraId="6ACAACA3" w14:textId="00171AB3" w:rsidR="00B63F33" w:rsidRDefault="00B63F33" w:rsidP="002B7809">
      <w:pPr>
        <w:pStyle w:val="ArticleL3"/>
      </w:pPr>
      <w:bookmarkStart w:id="569" w:name="_Ref149811681"/>
      <w:r>
        <w:t>At any time after the Commercial Operation Date, but before the end of the Term,</w:t>
      </w:r>
      <w:bookmarkEnd w:id="569"/>
      <w:r>
        <w:t xml:space="preserve"> </w:t>
      </w:r>
    </w:p>
    <w:p w14:paraId="7C4DD4A9" w14:textId="2EDBBCB3" w:rsidR="00B63F33" w:rsidRDefault="00B63F33" w:rsidP="009D7C78">
      <w:pPr>
        <w:pStyle w:val="ArticleL4"/>
      </w:pPr>
      <w:r>
        <w:t xml:space="preserve">if Seller proposes to sell the Facility to an unaffiliated third party, Seller shall first offer to sell the Facility to Company via notice to Company, </w:t>
      </w:r>
    </w:p>
    <w:p w14:paraId="50E44384" w14:textId="142AD123" w:rsidR="00B63F33" w:rsidRDefault="00B63F33" w:rsidP="009D7C78">
      <w:pPr>
        <w:pStyle w:val="ArticleL4"/>
      </w:pPr>
      <w:r>
        <w:t xml:space="preserve">if Seller’s parent proposes to sell </w:t>
      </w:r>
      <w:proofErr w:type="gramStart"/>
      <w:r>
        <w:t>a majority of</w:t>
      </w:r>
      <w:proofErr w:type="gramEnd"/>
      <w:r>
        <w:t xml:space="preserve"> any class of voting and/or non-voting equity interests in Seller (excluding interests owned by tax equity investors) to an unaffiliated third party, Seller shall cause its parent first to offer to sell such equity interests to Company via notice to Company, and</w:t>
      </w:r>
    </w:p>
    <w:p w14:paraId="5FFEFCFD" w14:textId="49A5DF7D" w:rsidR="00B63F33" w:rsidRDefault="00B63F33" w:rsidP="009D7C78">
      <w:pPr>
        <w:pStyle w:val="ArticleL4"/>
      </w:pPr>
      <w:bookmarkStart w:id="570" w:name="_Hlk46212559"/>
      <w:r>
        <w:t>if Seller’s parent owns no assets other than its equity interests in Seller and the parent of Seller’s parent proposes to sell a majority of any class of voting and/or non-voting equity interests in Seller’s parent (excluding interests owned by tax equity investors) to an unaffiliated third party, Seller shall cause its parent’s parent first to offer to sell such equity interests to Company via notice to Company</w:t>
      </w:r>
      <w:bookmarkEnd w:id="570"/>
      <w:r>
        <w:t xml:space="preserve"> </w:t>
      </w:r>
    </w:p>
    <w:p w14:paraId="543C4E2D" w14:textId="165ABB96" w:rsidR="00B63F33" w:rsidRDefault="00B63F33" w:rsidP="002B7809">
      <w:pPr>
        <w:pStyle w:val="ArticleL3"/>
        <w:numPr>
          <w:ilvl w:val="0"/>
          <w:numId w:val="0"/>
        </w:numPr>
      </w:pPr>
      <w:r>
        <w:t>(</w:t>
      </w:r>
      <w:proofErr w:type="gramStart"/>
      <w:r>
        <w:t>in</w:t>
      </w:r>
      <w:proofErr w:type="gramEnd"/>
      <w:r>
        <w:t xml:space="preserve"> each case, a “</w:t>
      </w:r>
      <w:r>
        <w:rPr>
          <w:u w:val="single"/>
        </w:rPr>
        <w:t>ROFO Notice</w:t>
      </w:r>
      <w:r>
        <w:t xml:space="preserve">”).   Any ROFO Notice shall describe the proposed transaction, including the minimum price, status of title to the Site, liabilities to be assumed and other terms which Seller or its relevant parent (as applicable) is willing to accept to proceed with the contemplated transaction.  The contents of a ROFO Notice shall be </w:t>
      </w:r>
      <w:proofErr w:type="gramStart"/>
      <w:r>
        <w:t>deemed</w:t>
      </w:r>
      <w:proofErr w:type="gramEnd"/>
      <w:r>
        <w:t xml:space="preserve"> Confidential Information for purposes of </w:t>
      </w:r>
      <w:r>
        <w:rPr>
          <w:u w:val="single"/>
        </w:rPr>
        <w:t xml:space="preserve">Section </w:t>
      </w:r>
      <w:r w:rsidR="000A707F">
        <w:rPr>
          <w:u w:val="single"/>
        </w:rPr>
        <w:fldChar w:fldCharType="begin"/>
      </w:r>
      <w:r w:rsidR="000A707F">
        <w:rPr>
          <w:u w:val="single"/>
        </w:rPr>
        <w:instrText xml:space="preserve"> REF _Ref149808560 \w \h </w:instrText>
      </w:r>
      <w:r w:rsidR="000A707F">
        <w:rPr>
          <w:u w:val="single"/>
        </w:rPr>
      </w:r>
      <w:r w:rsidR="000A707F">
        <w:rPr>
          <w:u w:val="single"/>
        </w:rPr>
        <w:fldChar w:fldCharType="separate"/>
      </w:r>
      <w:r w:rsidR="000A707F">
        <w:rPr>
          <w:u w:val="single"/>
        </w:rPr>
        <w:t>20.18</w:t>
      </w:r>
      <w:r w:rsidR="000A707F">
        <w:rPr>
          <w:u w:val="single"/>
        </w:rPr>
        <w:fldChar w:fldCharType="end"/>
      </w:r>
      <w:r>
        <w:t xml:space="preserve"> below. </w:t>
      </w:r>
    </w:p>
    <w:p w14:paraId="288FED24" w14:textId="31DB2D01" w:rsidR="00B63F33" w:rsidRDefault="00B63F33" w:rsidP="002B7809">
      <w:pPr>
        <w:pStyle w:val="ArticleL3"/>
      </w:pPr>
      <w:r>
        <w:t xml:space="preserve">Following issuance of a ROFO Notice, Seller shall allow Company sixty (60) Days to investigate the proposed transaction and conduct due diligence. Due diligence shall include such physical inspections, surveys and operating tests of the </w:t>
      </w:r>
      <w:r>
        <w:lastRenderedPageBreak/>
        <w:t xml:space="preserve">Facility and the Site, such reviews of Seller’s contracts, books and records, and interviews of such personnel, as Company may reasonably request.  </w:t>
      </w:r>
      <w:r>
        <w:rPr>
          <w:szCs w:val="24"/>
        </w:rPr>
        <w:t xml:space="preserve">All information obtained by Company from such investigations shall be </w:t>
      </w:r>
      <w:proofErr w:type="gramStart"/>
      <w:r>
        <w:rPr>
          <w:szCs w:val="24"/>
        </w:rPr>
        <w:t>deemed</w:t>
      </w:r>
      <w:proofErr w:type="gramEnd"/>
      <w:r>
        <w:rPr>
          <w:szCs w:val="24"/>
        </w:rPr>
        <w:t xml:space="preserve"> Confidential Information subject to </w:t>
      </w:r>
      <w:r>
        <w:rPr>
          <w:szCs w:val="24"/>
          <w:u w:val="single"/>
        </w:rPr>
        <w:t xml:space="preserve">Section </w:t>
      </w:r>
      <w:r w:rsidR="000A707F">
        <w:rPr>
          <w:szCs w:val="24"/>
          <w:u w:val="single"/>
        </w:rPr>
        <w:fldChar w:fldCharType="begin"/>
      </w:r>
      <w:r w:rsidR="000A707F">
        <w:rPr>
          <w:szCs w:val="24"/>
          <w:u w:val="single"/>
        </w:rPr>
        <w:instrText xml:space="preserve"> REF _Ref149808568 \w \h </w:instrText>
      </w:r>
      <w:r w:rsidR="000A707F">
        <w:rPr>
          <w:szCs w:val="24"/>
          <w:u w:val="single"/>
        </w:rPr>
      </w:r>
      <w:r w:rsidR="000A707F">
        <w:rPr>
          <w:szCs w:val="24"/>
          <w:u w:val="single"/>
        </w:rPr>
        <w:fldChar w:fldCharType="separate"/>
      </w:r>
      <w:r w:rsidR="000A707F">
        <w:rPr>
          <w:szCs w:val="24"/>
          <w:u w:val="single"/>
        </w:rPr>
        <w:t>20.18</w:t>
      </w:r>
      <w:r w:rsidR="000A707F">
        <w:rPr>
          <w:szCs w:val="24"/>
          <w:u w:val="single"/>
        </w:rPr>
        <w:fldChar w:fldCharType="end"/>
      </w:r>
      <w:r>
        <w:rPr>
          <w:szCs w:val="24"/>
        </w:rPr>
        <w:t xml:space="preserve"> below.</w:t>
      </w:r>
      <w:r>
        <w:t xml:space="preserve">  Within such 60-Day period, Company may elect to purchase the Facility or the relevant equity interests (as applicable) on substantially the same terms as set forth in the ROFO Notice.  If Company fails to notify Seller of Company’s election within such 60-Day period, Company shall be deemed to have rejected the transaction.</w:t>
      </w:r>
    </w:p>
    <w:p w14:paraId="34893AEC" w14:textId="223F48CB" w:rsidR="00B63F33" w:rsidRDefault="00B63F33" w:rsidP="009D7C78">
      <w:pPr>
        <w:pStyle w:val="ArticleL3"/>
        <w:keepNext w:val="0"/>
      </w:pPr>
      <w:r>
        <w:t xml:space="preserve">If Company elects to purchase the Facility or the specified equity interests (as applicable), the Parties shall negotiate and execute a PSA.  If Company elects to purchase the Facility the PSA shall include the price and other terms set forth in the ROFO Notice and such other terms as are set forth in </w:t>
      </w:r>
      <w:r w:rsidR="000E4265" w:rsidRPr="000E4265">
        <w:rPr>
          <w:u w:val="single"/>
        </w:rPr>
        <w:t xml:space="preserve">Exhibit </w:t>
      </w:r>
      <w:r w:rsidR="000E4265">
        <w:rPr>
          <w:u w:val="single"/>
        </w:rPr>
        <w:t>L-2</w:t>
      </w:r>
      <w:r w:rsidR="000E4265" w:rsidRPr="000E4265">
        <w:rPr>
          <w:u w:val="single"/>
        </w:rPr>
        <w:t xml:space="preserve"> - P</w:t>
      </w:r>
      <w:r w:rsidR="000E4265">
        <w:rPr>
          <w:u w:val="single"/>
        </w:rPr>
        <w:t>SA</w:t>
      </w:r>
      <w:r w:rsidR="000E4265" w:rsidRPr="000E4265">
        <w:rPr>
          <w:u w:val="single"/>
        </w:rPr>
        <w:t xml:space="preserve"> Provisions</w:t>
      </w:r>
      <w:r>
        <w:t xml:space="preserve">.  If Company elects to purchase the specified equity interests, the PSA shall include the price and other terms set forth in the ROFO Notice and such other terms as are set forth in </w:t>
      </w:r>
      <w:r w:rsidR="000E4265" w:rsidRPr="000E4265">
        <w:rPr>
          <w:u w:val="single"/>
        </w:rPr>
        <w:t xml:space="preserve">Exhibit </w:t>
      </w:r>
      <w:r w:rsidR="000E4265">
        <w:rPr>
          <w:u w:val="single"/>
        </w:rPr>
        <w:t>L-3</w:t>
      </w:r>
      <w:r w:rsidR="000E4265" w:rsidRPr="000E4265">
        <w:rPr>
          <w:u w:val="single"/>
        </w:rPr>
        <w:t xml:space="preserve"> - </w:t>
      </w:r>
      <w:r w:rsidR="000E4265">
        <w:rPr>
          <w:u w:val="single"/>
        </w:rPr>
        <w:t>MIPSA</w:t>
      </w:r>
      <w:r w:rsidR="000E4265" w:rsidRPr="000E4265">
        <w:rPr>
          <w:u w:val="single"/>
        </w:rPr>
        <w:t xml:space="preserve"> Provisions</w:t>
      </w:r>
      <w:r>
        <w:rPr>
          <w:u w:val="single"/>
        </w:rPr>
        <w:t xml:space="preserve">.  </w:t>
      </w:r>
    </w:p>
    <w:p w14:paraId="0FA63618" w14:textId="404997D6" w:rsidR="00B63F33" w:rsidRDefault="00B63F33" w:rsidP="009D7C78">
      <w:pPr>
        <w:pStyle w:val="ArticleL3"/>
        <w:keepNext w:val="0"/>
      </w:pPr>
      <w:r>
        <w:t xml:space="preserve">If Company rejects the transaction described in a ROFO Notice, Seller shall have the right to sell the Facility (or Seller’s relevant parent shall have the right to </w:t>
      </w:r>
      <w:r w:rsidRPr="00BD6D7E">
        <w:rPr>
          <w:color w:val="000000" w:themeColor="text1"/>
        </w:rPr>
        <w:t xml:space="preserve">sell the specified equity interests, as applicable) on terms </w:t>
      </w:r>
      <w:bookmarkStart w:id="571" w:name="_cp_change_142"/>
      <w:r w:rsidRPr="00BD6D7E">
        <w:rPr>
          <w:color w:val="000000" w:themeColor="text1"/>
        </w:rPr>
        <w:t xml:space="preserve">that a reasonable person would determine are </w:t>
      </w:r>
      <w:bookmarkEnd w:id="571"/>
      <w:r w:rsidRPr="00BD6D7E">
        <w:rPr>
          <w:color w:val="000000" w:themeColor="text1"/>
        </w:rPr>
        <w:t xml:space="preserve">not more favorable </w:t>
      </w:r>
      <w:bookmarkStart w:id="572" w:name="_cp_change_143"/>
      <w:r w:rsidRPr="00BD6D7E">
        <w:rPr>
          <w:color w:val="000000" w:themeColor="text1"/>
        </w:rPr>
        <w:t xml:space="preserve">to such buyer </w:t>
      </w:r>
      <w:bookmarkEnd w:id="572"/>
      <w:r w:rsidRPr="00BD6D7E">
        <w:rPr>
          <w:color w:val="000000" w:themeColor="text1"/>
        </w:rPr>
        <w:t xml:space="preserve">than the </w:t>
      </w:r>
      <w:r>
        <w:t xml:space="preserve">terms </w:t>
      </w:r>
      <w:bookmarkStart w:id="573" w:name="_cp_change_145"/>
      <w:r w:rsidRPr="00BD6D7E">
        <w:rPr>
          <w:color w:val="000000" w:themeColor="text1"/>
        </w:rPr>
        <w:t>offered to the Company</w:t>
      </w:r>
      <w:bookmarkEnd w:id="573"/>
      <w:r w:rsidRPr="00BD6D7E">
        <w:rPr>
          <w:color w:val="000000" w:themeColor="text1"/>
        </w:rPr>
        <w:t xml:space="preserve"> </w:t>
      </w:r>
      <w:r>
        <w:t xml:space="preserve">in the ROFO Notice, at any time within the twelve-month period following issuance of the ROFO Notice.  If Seller or its relevant parent fails to close a transaction on such terms within such twelve (12)-month period, any sale of the Facility or equity interests in Seller shall again be subject to this </w:t>
      </w:r>
      <w:r>
        <w:rPr>
          <w:u w:val="single"/>
        </w:rPr>
        <w:t xml:space="preserve">Section </w:t>
      </w:r>
      <w:r w:rsidR="000A707F">
        <w:rPr>
          <w:u w:val="single"/>
        </w:rPr>
        <w:fldChar w:fldCharType="begin"/>
      </w:r>
      <w:r w:rsidR="000A707F">
        <w:rPr>
          <w:u w:val="single"/>
        </w:rPr>
        <w:instrText xml:space="preserve"> REF _Hlk48743701 \w \h </w:instrText>
      </w:r>
      <w:r w:rsidR="000A707F">
        <w:rPr>
          <w:u w:val="single"/>
        </w:rPr>
      </w:r>
      <w:r w:rsidR="000A707F">
        <w:rPr>
          <w:u w:val="single"/>
        </w:rPr>
        <w:fldChar w:fldCharType="separate"/>
      </w:r>
      <w:r w:rsidR="000A707F">
        <w:rPr>
          <w:u w:val="single"/>
        </w:rPr>
        <w:t>19.3</w:t>
      </w:r>
      <w:r w:rsidR="000A707F">
        <w:rPr>
          <w:u w:val="single"/>
        </w:rPr>
        <w:fldChar w:fldCharType="end"/>
      </w:r>
      <w:r>
        <w:t>.</w:t>
      </w:r>
    </w:p>
    <w:p w14:paraId="7675FFB2" w14:textId="6252C621" w:rsidR="00B63F33" w:rsidRDefault="00B63F33" w:rsidP="002B7809">
      <w:pPr>
        <w:pStyle w:val="ArticleL3"/>
      </w:pPr>
      <w:r>
        <w:t xml:space="preserve">This </w:t>
      </w:r>
      <w:r>
        <w:rPr>
          <w:u w:val="single"/>
        </w:rPr>
        <w:t xml:space="preserve">Section </w:t>
      </w:r>
      <w:r w:rsidR="000A707F">
        <w:rPr>
          <w:u w:val="single"/>
        </w:rPr>
        <w:fldChar w:fldCharType="begin"/>
      </w:r>
      <w:r w:rsidR="000A707F">
        <w:rPr>
          <w:u w:val="single"/>
        </w:rPr>
        <w:instrText xml:space="preserve"> REF _Hlk48743701 \w \h </w:instrText>
      </w:r>
      <w:r w:rsidR="000A707F">
        <w:rPr>
          <w:u w:val="single"/>
        </w:rPr>
      </w:r>
      <w:r w:rsidR="000A707F">
        <w:rPr>
          <w:u w:val="single"/>
        </w:rPr>
        <w:fldChar w:fldCharType="separate"/>
      </w:r>
      <w:r w:rsidR="000A707F">
        <w:rPr>
          <w:u w:val="single"/>
        </w:rPr>
        <w:t>19.3</w:t>
      </w:r>
      <w:r w:rsidR="000A707F">
        <w:rPr>
          <w:u w:val="single"/>
        </w:rPr>
        <w:fldChar w:fldCharType="end"/>
      </w:r>
      <w:r>
        <w:t xml:space="preserve"> shall be specifically enforceable by Company, without bond and without the need to prove irreparable harm. </w:t>
      </w:r>
    </w:p>
    <w:p w14:paraId="27DF4CB9" w14:textId="77777777" w:rsidR="00B63F33" w:rsidRDefault="00B63F33" w:rsidP="002B7809">
      <w:pPr>
        <w:pStyle w:val="ArticleL3"/>
      </w:pPr>
      <w:r>
        <w:t>Seller shall cooperate in all respects reasonably necessary for Company to exercise its ROFO rights and shall operate the Facility in the ordinary course of business following the date of issuance of a ROFO Notice.</w:t>
      </w:r>
    </w:p>
    <w:p w14:paraId="3C8F0ED4" w14:textId="21442CAC" w:rsidR="00B63F33" w:rsidRDefault="00B63F33" w:rsidP="002B7809">
      <w:pPr>
        <w:pStyle w:val="ArticleL2"/>
      </w:pPr>
      <w:bookmarkStart w:id="574" w:name="_Toc147494923"/>
      <w:bookmarkStart w:id="575" w:name="_Ref149808496"/>
      <w:bookmarkStart w:id="576" w:name="_Hlk46502321"/>
      <w:bookmarkEnd w:id="565"/>
      <w:r w:rsidRPr="009D7C78">
        <w:rPr>
          <w:rStyle w:val="ArticleL2UnderlineChar"/>
        </w:rPr>
        <w:t>PFT</w:t>
      </w:r>
      <w:bookmarkEnd w:id="574"/>
      <w:r>
        <w:t>.</w:t>
      </w:r>
      <w:bookmarkEnd w:id="566"/>
      <w:bookmarkEnd w:id="567"/>
      <w:bookmarkEnd w:id="575"/>
      <w:r>
        <w:t xml:space="preserve">  </w:t>
      </w:r>
    </w:p>
    <w:p w14:paraId="5738A8A4" w14:textId="21F2FD85" w:rsidR="00B63F33" w:rsidRDefault="00B63F33" w:rsidP="002B7809">
      <w:pPr>
        <w:pStyle w:val="ArticleL3"/>
      </w:pPr>
      <w:bookmarkStart w:id="577" w:name="_Ref149810908"/>
      <w:r>
        <w:t>Seller shall give Company at least ninety (90) Days’ prior notice (a “</w:t>
      </w:r>
      <w:r>
        <w:rPr>
          <w:u w:val="single"/>
        </w:rPr>
        <w:t>PFT Notice</w:t>
      </w:r>
      <w:r>
        <w:t xml:space="preserve">”) of any Pending Facility Transaction that does not otherwise trigger Company’s ROFO rights under </w:t>
      </w:r>
      <w:r>
        <w:rPr>
          <w:u w:val="single"/>
        </w:rPr>
        <w:t xml:space="preserve">Section </w:t>
      </w:r>
      <w:r w:rsidR="000A707F">
        <w:rPr>
          <w:u w:val="single"/>
        </w:rPr>
        <w:fldChar w:fldCharType="begin"/>
      </w:r>
      <w:r w:rsidR="000A707F">
        <w:rPr>
          <w:u w:val="single"/>
        </w:rPr>
        <w:instrText xml:space="preserve"> REF _Hlk48743701 \w \h </w:instrText>
      </w:r>
      <w:r w:rsidR="000A707F">
        <w:rPr>
          <w:u w:val="single"/>
        </w:rPr>
      </w:r>
      <w:r w:rsidR="000A707F">
        <w:rPr>
          <w:u w:val="single"/>
        </w:rPr>
        <w:fldChar w:fldCharType="separate"/>
      </w:r>
      <w:r w:rsidR="000A707F">
        <w:rPr>
          <w:u w:val="single"/>
        </w:rPr>
        <w:t>19.3</w:t>
      </w:r>
      <w:r w:rsidR="000A707F">
        <w:rPr>
          <w:u w:val="single"/>
        </w:rPr>
        <w:fldChar w:fldCharType="end"/>
      </w:r>
      <w:r>
        <w:t xml:space="preserve">, in order to provide Company with an opportunity to discuss and negotiate with Seller the possible sale of the Facility to Company.  Any PFT Notice shall include a fair summary of Seller’s plans with respect to the Facility in connection with the proposed Pending Facility Transaction, to the extent then known by Seller.  The contents of a PFT Notice shall be </w:t>
      </w:r>
      <w:proofErr w:type="gramStart"/>
      <w:r>
        <w:t>deemed</w:t>
      </w:r>
      <w:proofErr w:type="gramEnd"/>
      <w:r>
        <w:t xml:space="preserve"> Confidential Information for purposes of </w:t>
      </w:r>
      <w:r>
        <w:rPr>
          <w:u w:val="single"/>
        </w:rPr>
        <w:t xml:space="preserve">Section </w:t>
      </w:r>
      <w:r w:rsidR="000A707F">
        <w:rPr>
          <w:u w:val="single"/>
        </w:rPr>
        <w:fldChar w:fldCharType="begin"/>
      </w:r>
      <w:r w:rsidR="000A707F">
        <w:rPr>
          <w:u w:val="single"/>
        </w:rPr>
        <w:instrText xml:space="preserve"> REF _Ref149808614 \w \h </w:instrText>
      </w:r>
      <w:r w:rsidR="000A707F">
        <w:rPr>
          <w:u w:val="single"/>
        </w:rPr>
      </w:r>
      <w:r w:rsidR="000A707F">
        <w:rPr>
          <w:u w:val="single"/>
        </w:rPr>
        <w:fldChar w:fldCharType="separate"/>
      </w:r>
      <w:r w:rsidR="000A707F">
        <w:rPr>
          <w:u w:val="single"/>
        </w:rPr>
        <w:t>20.18</w:t>
      </w:r>
      <w:r w:rsidR="000A707F">
        <w:rPr>
          <w:u w:val="single"/>
        </w:rPr>
        <w:fldChar w:fldCharType="end"/>
      </w:r>
      <w:r>
        <w:t xml:space="preserve"> below.</w:t>
      </w:r>
      <w:bookmarkEnd w:id="577"/>
    </w:p>
    <w:p w14:paraId="33AA7C50" w14:textId="21295521" w:rsidR="00B63F33" w:rsidRDefault="00B63F33" w:rsidP="002B7809">
      <w:pPr>
        <w:pStyle w:val="ArticleL3"/>
      </w:pPr>
      <w:r>
        <w:t xml:space="preserve">Seller shall have no obligation to </w:t>
      </w:r>
      <w:proofErr w:type="gramStart"/>
      <w:r>
        <w:t>sell</w:t>
      </w:r>
      <w:proofErr w:type="gramEnd"/>
      <w:r>
        <w:t xml:space="preserve"> nor shall Company have any obligation to purchase the Facility, following any PFT Notice.  Issuance of a PFT Notice shall not relieve Seller of its obligation to offer a ROFO to Company </w:t>
      </w:r>
      <w:proofErr w:type="gramStart"/>
      <w:r>
        <w:t>if and when</w:t>
      </w:r>
      <w:proofErr w:type="gramEnd"/>
      <w:r>
        <w:t xml:space="preserve"> applicable pursuant to </w:t>
      </w:r>
      <w:r>
        <w:rPr>
          <w:u w:val="single"/>
        </w:rPr>
        <w:t xml:space="preserve">Section </w:t>
      </w:r>
      <w:r w:rsidR="000A707F">
        <w:rPr>
          <w:u w:val="single"/>
        </w:rPr>
        <w:fldChar w:fldCharType="begin"/>
      </w:r>
      <w:r w:rsidR="000A707F">
        <w:rPr>
          <w:u w:val="single"/>
        </w:rPr>
        <w:instrText xml:space="preserve"> REF _Hlk48743701 \w \h </w:instrText>
      </w:r>
      <w:r w:rsidR="000A707F">
        <w:rPr>
          <w:u w:val="single"/>
        </w:rPr>
      </w:r>
      <w:r w:rsidR="000A707F">
        <w:rPr>
          <w:u w:val="single"/>
        </w:rPr>
        <w:fldChar w:fldCharType="separate"/>
      </w:r>
      <w:r w:rsidR="000A707F">
        <w:rPr>
          <w:u w:val="single"/>
        </w:rPr>
        <w:t>19.3</w:t>
      </w:r>
      <w:r w:rsidR="000A707F">
        <w:rPr>
          <w:u w:val="single"/>
        </w:rPr>
        <w:fldChar w:fldCharType="end"/>
      </w:r>
      <w:r>
        <w:t xml:space="preserve">.  </w:t>
      </w:r>
      <w:proofErr w:type="gramStart"/>
      <w:r>
        <w:t>In the event that</w:t>
      </w:r>
      <w:proofErr w:type="gramEnd"/>
      <w:r>
        <w:t xml:space="preserve"> the transaction giving rise to the PFT Notice </w:t>
      </w:r>
      <w:r>
        <w:lastRenderedPageBreak/>
        <w:t>has not been completed within twelve (12) months following a PFT Notice, Seller shall be required to resubmit a PFT Notice for such transaction.</w:t>
      </w:r>
      <w:bookmarkEnd w:id="568"/>
    </w:p>
    <w:p w14:paraId="2E6FCFA5" w14:textId="49B3A782" w:rsidR="00B63F33" w:rsidRPr="00922467" w:rsidRDefault="00B63F33" w:rsidP="002B7809">
      <w:pPr>
        <w:pStyle w:val="ArticleL3"/>
      </w:pPr>
      <w:r>
        <w:t xml:space="preserve">Any breach of this </w:t>
      </w:r>
      <w:r>
        <w:rPr>
          <w:u w:val="single"/>
        </w:rPr>
        <w:t xml:space="preserve">Section </w:t>
      </w:r>
      <w:r w:rsidR="000A707F">
        <w:rPr>
          <w:u w:val="single"/>
        </w:rPr>
        <w:fldChar w:fldCharType="begin"/>
      </w:r>
      <w:r w:rsidR="000A707F">
        <w:rPr>
          <w:u w:val="single"/>
        </w:rPr>
        <w:instrText xml:space="preserve"> REF _Ref149808496 \w \h </w:instrText>
      </w:r>
      <w:r w:rsidR="000A707F">
        <w:rPr>
          <w:u w:val="single"/>
        </w:rPr>
      </w:r>
      <w:r w:rsidR="000A707F">
        <w:rPr>
          <w:u w:val="single"/>
        </w:rPr>
        <w:fldChar w:fldCharType="separate"/>
      </w:r>
      <w:r w:rsidR="000A707F">
        <w:rPr>
          <w:u w:val="single"/>
        </w:rPr>
        <w:t>19.4</w:t>
      </w:r>
      <w:r w:rsidR="000A707F">
        <w:rPr>
          <w:u w:val="single"/>
        </w:rPr>
        <w:fldChar w:fldCharType="end"/>
      </w:r>
      <w:r>
        <w:t xml:space="preserve"> shall entitle Company to liquidated damages from Seller </w:t>
      </w:r>
      <w:proofErr w:type="gramStart"/>
      <w:r>
        <w:t xml:space="preserve">in the amount </w:t>
      </w:r>
      <w:r w:rsidRPr="00922467">
        <w:t>of</w:t>
      </w:r>
      <w:proofErr w:type="gramEnd"/>
      <w:r w:rsidRPr="00922467">
        <w:t xml:space="preserve"> [</w:t>
      </w:r>
      <w:r w:rsidRPr="00922467">
        <w:rPr>
          <w:i/>
          <w:highlight w:val="yellow"/>
        </w:rPr>
        <w:t>insert $5 x number of kW of Nameplate Capacity</w:t>
      </w:r>
      <w:r w:rsidRPr="00922467">
        <w:t xml:space="preserve">]. </w:t>
      </w:r>
    </w:p>
    <w:p w14:paraId="127DCAD4" w14:textId="77777777" w:rsidR="00B63F33" w:rsidRPr="00922467" w:rsidRDefault="00B63F33" w:rsidP="002B7809">
      <w:pPr>
        <w:pStyle w:val="ArticleL3"/>
      </w:pPr>
      <w:bookmarkStart w:id="578" w:name="_Ref149810897"/>
      <w:r w:rsidRPr="00922467">
        <w:t>For purposes hereof, a “</w:t>
      </w:r>
      <w:r w:rsidRPr="00922467">
        <w:rPr>
          <w:u w:val="single"/>
        </w:rPr>
        <w:t>Pending Facility Transaction</w:t>
      </w:r>
      <w:r w:rsidRPr="00922467">
        <w:t>” or “</w:t>
      </w:r>
      <w:r w:rsidRPr="00922467">
        <w:rPr>
          <w:u w:val="single"/>
        </w:rPr>
        <w:t>PFT</w:t>
      </w:r>
      <w:r w:rsidRPr="00922467">
        <w:t>” means:</w:t>
      </w:r>
      <w:bookmarkEnd w:id="578"/>
    </w:p>
    <w:p w14:paraId="7EDAF157" w14:textId="77777777" w:rsidR="00B63F33" w:rsidRPr="00922467" w:rsidRDefault="00B63F33" w:rsidP="002B7809">
      <w:pPr>
        <w:pStyle w:val="ArticleL4"/>
      </w:pPr>
      <w:r w:rsidRPr="00922467">
        <w:t xml:space="preserve">any Change of Control of </w:t>
      </w:r>
      <w:proofErr w:type="gramStart"/>
      <w:r w:rsidRPr="00922467">
        <w:t>Seller;</w:t>
      </w:r>
      <w:proofErr w:type="gramEnd"/>
    </w:p>
    <w:p w14:paraId="30699E01" w14:textId="77777777" w:rsidR="00B63F33" w:rsidRDefault="00B63F33" w:rsidP="002B7809">
      <w:pPr>
        <w:pStyle w:val="ArticleL4"/>
      </w:pPr>
      <w:r>
        <w:t>the issuance by Seller or any of its Affiliates of a request for proposals or the response by Seller or any of its Affiliates to a request for proposal or similar process (e.g., auction) for the purchase or sale to any unaffiliated third party of any equity interests in Seller or the Facility, or any group(s) of assets or equity interests that includes the Facility;</w:t>
      </w:r>
    </w:p>
    <w:p w14:paraId="5EDF4887" w14:textId="77777777" w:rsidR="00B63F33" w:rsidRDefault="00B63F33" w:rsidP="002B7809">
      <w:pPr>
        <w:pStyle w:val="ArticleL4"/>
      </w:pPr>
      <w:r>
        <w:t>the transmission by Seller or any of its Affiliates of a draft letter of intent, memorandum of understanding, term sheet or similar document (or a revised version thereof) to an unaffiliated third party with respect to the sale of any equity interests in Seller or the Facility, or any group(s) of assets or equity interests that includes the Facility;  or</w:t>
      </w:r>
    </w:p>
    <w:p w14:paraId="36EE5DC7" w14:textId="77777777" w:rsidR="00B63F33" w:rsidRDefault="00B63F33" w:rsidP="002B7809">
      <w:pPr>
        <w:pStyle w:val="ArticleL4"/>
      </w:pPr>
      <w:r>
        <w:t>the execution by Seller or any of its Affiliates of any letter of intent, memorandum of understanding, term sheet or similar document, whether or not legally binding, which contemplates the sale or lease to an unaffiliated third party of any equity interests in Seller or the Facility or any group(s) of assets or equity interests that includes the Facility;</w:t>
      </w:r>
    </w:p>
    <w:p w14:paraId="719062FF" w14:textId="0C2E12E0" w:rsidR="00B63F33" w:rsidRDefault="00B63F33">
      <w:pPr>
        <w:pStyle w:val="BodyTextFirstIndent"/>
        <w:suppressAutoHyphens/>
        <w:ind w:right="0" w:firstLine="1260"/>
        <w:rPr>
          <w:rFonts w:cs="Arial"/>
        </w:rPr>
      </w:pPr>
      <w:r>
        <w:rPr>
          <w:rFonts w:cs="Arial"/>
          <w:i/>
        </w:rPr>
        <w:t xml:space="preserve">provided, however, </w:t>
      </w:r>
      <w:r>
        <w:rPr>
          <w:rFonts w:cs="Arial"/>
        </w:rPr>
        <w:t xml:space="preserve">that a PFT does not include (i) any financing or refinancing of the Facility Debt, (ii) any transaction among Affiliates of Seller, and/or (iii) any transaction for which Seller offers ROFO rights to Company under </w:t>
      </w:r>
      <w:r>
        <w:rPr>
          <w:rFonts w:cs="Arial"/>
          <w:u w:val="single"/>
        </w:rPr>
        <w:t xml:space="preserve">Section </w:t>
      </w:r>
      <w:r w:rsidR="000A707F">
        <w:rPr>
          <w:u w:val="single"/>
        </w:rPr>
        <w:fldChar w:fldCharType="begin"/>
      </w:r>
      <w:r w:rsidR="000A707F">
        <w:rPr>
          <w:rFonts w:cs="Arial"/>
          <w:u w:val="single"/>
        </w:rPr>
        <w:instrText xml:space="preserve"> REF _Hlk48743701 \w \h </w:instrText>
      </w:r>
      <w:r w:rsidR="000A707F">
        <w:rPr>
          <w:u w:val="single"/>
        </w:rPr>
      </w:r>
      <w:r w:rsidR="000A707F">
        <w:rPr>
          <w:u w:val="single"/>
        </w:rPr>
        <w:fldChar w:fldCharType="separate"/>
      </w:r>
      <w:r w:rsidR="000A707F">
        <w:rPr>
          <w:rFonts w:cs="Arial"/>
          <w:u w:val="single"/>
        </w:rPr>
        <w:t>19.3</w:t>
      </w:r>
      <w:r w:rsidR="000A707F">
        <w:rPr>
          <w:u w:val="single"/>
        </w:rPr>
        <w:fldChar w:fldCharType="end"/>
      </w:r>
      <w:r>
        <w:rPr>
          <w:rFonts w:cs="Arial"/>
        </w:rPr>
        <w:t xml:space="preserve">. </w:t>
      </w:r>
      <w:bookmarkEnd w:id="576"/>
    </w:p>
    <w:p w14:paraId="4B32CA52" w14:textId="31A742A4" w:rsidR="00B63F33" w:rsidRPr="00922467" w:rsidRDefault="00B63F33" w:rsidP="002B7809">
      <w:pPr>
        <w:pStyle w:val="ArticleL2"/>
      </w:pPr>
      <w:bookmarkStart w:id="579" w:name="_Toc147494924"/>
      <w:bookmarkStart w:id="580" w:name="_Ref149744141"/>
      <w:bookmarkStart w:id="581" w:name="_Toc433954055"/>
      <w:bookmarkStart w:id="582" w:name="_Toc433954213"/>
      <w:bookmarkStart w:id="583" w:name="_Toc288027313"/>
      <w:r w:rsidRPr="00922467">
        <w:rPr>
          <w:rStyle w:val="ArticleL2UnderlineChar"/>
        </w:rPr>
        <w:t>Option</w:t>
      </w:r>
      <w:bookmarkEnd w:id="579"/>
      <w:r w:rsidRPr="00922467">
        <w:t xml:space="preserve">.   </w:t>
      </w:r>
      <w:bookmarkEnd w:id="580"/>
    </w:p>
    <w:p w14:paraId="76888507" w14:textId="35C31F28" w:rsidR="00B63F33" w:rsidRDefault="00B63F33" w:rsidP="002B7809">
      <w:pPr>
        <w:pStyle w:val="ArticleL3"/>
      </w:pPr>
      <w:bookmarkStart w:id="584" w:name="_Ref149809927"/>
      <w:r w:rsidRPr="00922467">
        <w:t>At any time during each of the periods that is within one hundred eighty (180) Days following any of [</w:t>
      </w:r>
      <w:r w:rsidRPr="00922467">
        <w:rPr>
          <w:i/>
          <w:highlight w:val="yellow"/>
        </w:rPr>
        <w:t>Solar</w:t>
      </w:r>
      <w:r w:rsidRPr="00922467">
        <w:t xml:space="preserve"> </w:t>
      </w:r>
      <w:r w:rsidRPr="00922467">
        <w:rPr>
          <w:highlight w:val="yellow"/>
        </w:rPr>
        <w:t>(</w:t>
      </w:r>
      <w:r w:rsidRPr="00922467">
        <w:t>i) the sixth (6</w:t>
      </w:r>
      <w:r w:rsidRPr="00922467">
        <w:rPr>
          <w:vertAlign w:val="superscript"/>
        </w:rPr>
        <w:t>th</w:t>
      </w:r>
      <w:r w:rsidRPr="00922467">
        <w:t>) anniversary of COD, (ii) the tenth (10</w:t>
      </w:r>
      <w:r w:rsidRPr="00922467">
        <w:rPr>
          <w:vertAlign w:val="superscript"/>
        </w:rPr>
        <w:t>th</w:t>
      </w:r>
      <w:r w:rsidRPr="00922467">
        <w:t>) anniversary of COD, (iii) the fourteenth 14</w:t>
      </w:r>
      <w:r w:rsidRPr="00922467">
        <w:rPr>
          <w:vertAlign w:val="superscript"/>
        </w:rPr>
        <w:t>th</w:t>
      </w:r>
      <w:r w:rsidRPr="00922467">
        <w:t>) anniversary of COD and (iv) the end of the Term ] [</w:t>
      </w:r>
      <w:r w:rsidRPr="00922467">
        <w:rPr>
          <w:i/>
          <w:highlight w:val="yellow"/>
        </w:rPr>
        <w:t>Wind</w:t>
      </w:r>
      <w:r w:rsidRPr="00922467">
        <w:t xml:space="preserve"> (i) the twelfth (12</w:t>
      </w:r>
      <w:r w:rsidRPr="00922467">
        <w:rPr>
          <w:vertAlign w:val="superscript"/>
        </w:rPr>
        <w:t>th</w:t>
      </w:r>
      <w:r w:rsidRPr="00922467">
        <w:t xml:space="preserve">) anniversary of COD and (ii) the end of the Term], </w:t>
      </w:r>
      <w:bookmarkStart w:id="585" w:name="_Hlk46986817"/>
      <w:r w:rsidRPr="00922467">
        <w:t xml:space="preserve">Company (or an Affiliate) may give notice to Seller of Company’s (or such Affiliate) intent to purchase (i) the Facility from Seller (a “Facility Acquisition”) or (ii) all, but not less than all, of Ultimate Parent’s direct and indirect right, title and interest in the equity interests of Seller, and including, if applicable, Ultimate Parent’s direct and indirect right, title and interest in the tax equity partnership (the “TE Partnership”) that owns, directly or indirectly, equity interests in Seller (together, the “Equity Interest”) (an “Equity Interest Acquisition”) with such notice in either case referred to as an “Option Preliminary Exercise </w:t>
      </w:r>
      <w:r>
        <w:t>Notice”</w:t>
      </w:r>
      <w:bookmarkEnd w:id="585"/>
      <w:r>
        <w:t>.</w:t>
      </w:r>
      <w:bookmarkEnd w:id="584"/>
      <w:r>
        <w:t xml:space="preserve"> </w:t>
      </w:r>
    </w:p>
    <w:p w14:paraId="6E644431" w14:textId="77777777" w:rsidR="00B63F33" w:rsidRDefault="00B63F33" w:rsidP="002B7809">
      <w:pPr>
        <w:pStyle w:val="ArticleL3"/>
      </w:pPr>
      <w:r>
        <w:t xml:space="preserve">As soon as practicable following delivery of an Option Preliminary Exercise Notice for a Facility Acquisition, the Parties shall appoint </w:t>
      </w:r>
      <w:r>
        <w:rPr>
          <w:szCs w:val="24"/>
        </w:rPr>
        <w:t>an independent appraiser experienced in appraising utility-scale [</w:t>
      </w:r>
      <w:r>
        <w:rPr>
          <w:szCs w:val="24"/>
          <w:highlight w:val="yellow"/>
        </w:rPr>
        <w:t>wind</w:t>
      </w:r>
      <w:r>
        <w:rPr>
          <w:szCs w:val="24"/>
        </w:rPr>
        <w:t>] [</w:t>
      </w:r>
      <w:r>
        <w:rPr>
          <w:szCs w:val="24"/>
          <w:highlight w:val="yellow"/>
        </w:rPr>
        <w:t>solar</w:t>
      </w:r>
      <w:r>
        <w:rPr>
          <w:szCs w:val="24"/>
        </w:rPr>
        <w:t xml:space="preserve">] power generation facilities (as may be applicable to the bid) to determine the fair market value </w:t>
      </w:r>
      <w:r>
        <w:t>(“</w:t>
      </w:r>
      <w:r>
        <w:rPr>
          <w:u w:val="single"/>
        </w:rPr>
        <w:t>FMV</w:t>
      </w:r>
      <w:r>
        <w:t>”)</w:t>
      </w:r>
      <w:r>
        <w:rPr>
          <w:szCs w:val="24"/>
        </w:rPr>
        <w:t xml:space="preserve"> of the Facility.  </w:t>
      </w:r>
      <w:r>
        <w:rPr>
          <w:szCs w:val="24"/>
        </w:rPr>
        <w:lastRenderedPageBreak/>
        <w:t>If the Parties cannot agree on the identity of the appraiser, the appraiser shall be selected by the Arbitration Service.</w:t>
      </w:r>
    </w:p>
    <w:p w14:paraId="17990650" w14:textId="77777777" w:rsidR="00B63F33" w:rsidRDefault="00B63F33" w:rsidP="002B7809">
      <w:pPr>
        <w:pStyle w:val="ArticleL4"/>
      </w:pPr>
      <w:r>
        <w:t>Seller shall provide to the appraiser full access to the Facility and the Site, to Seller’s contracts, books and records, and to relevant personnel of Seller, during normal business hours</w:t>
      </w:r>
      <w:proofErr w:type="gramStart"/>
      <w:r>
        <w:t xml:space="preserve">.  </w:t>
      </w:r>
      <w:proofErr w:type="gramEnd"/>
      <w:r>
        <w:t xml:space="preserve">Such access shall include the right to conduct inspections, surveys and tests (including environmental testing of the Site and operating tests on the Facility) necessary or </w:t>
      </w:r>
      <w:proofErr w:type="gramStart"/>
      <w:r>
        <w:t>appropriate for</w:t>
      </w:r>
      <w:proofErr w:type="gramEnd"/>
      <w:r>
        <w:t xml:space="preserve"> the determination of FMV of the Facility.   </w:t>
      </w:r>
    </w:p>
    <w:p w14:paraId="6493DDF0" w14:textId="3AA15832" w:rsidR="00B63F33" w:rsidRDefault="00A1669E" w:rsidP="002B7809">
      <w:pPr>
        <w:pStyle w:val="ArticleL4"/>
      </w:pPr>
      <w:r>
        <w:t xml:space="preserve">Unless otherwise agreed to by Parties, Company shall pay all fees and costs of the appraiser.  </w:t>
      </w:r>
    </w:p>
    <w:p w14:paraId="17B626D8" w14:textId="6599F97F" w:rsidR="00B63F33" w:rsidRDefault="00B63F33" w:rsidP="002B7809">
      <w:pPr>
        <w:pStyle w:val="ArticleL4"/>
      </w:pPr>
      <w:bookmarkStart w:id="586" w:name="_Hlk46986922"/>
      <w:r>
        <w:t xml:space="preserve">The Parties shall direct the appraiser to use his/her/its best efforts to complete and deliver his/her/its appraisal to the Parties within two (2) months following his/her/its appointment and to keep all information obtained by appraiser from any investigations as Confidential Information subject to the provisions of </w:t>
      </w:r>
      <w:r w:rsidRPr="005357FF">
        <w:rPr>
          <w:u w:val="single"/>
        </w:rPr>
        <w:t xml:space="preserve">Section </w:t>
      </w:r>
      <w:r w:rsidR="000A707F" w:rsidRPr="005357FF">
        <w:rPr>
          <w:u w:val="single"/>
        </w:rPr>
        <w:fldChar w:fldCharType="begin"/>
      </w:r>
      <w:r w:rsidR="000A707F" w:rsidRPr="005357FF">
        <w:rPr>
          <w:u w:val="single"/>
        </w:rPr>
        <w:instrText xml:space="preserve"> REF _Ref149808682 \w \h </w:instrText>
      </w:r>
      <w:r w:rsidR="000A707F">
        <w:rPr>
          <w:u w:val="single"/>
        </w:rPr>
        <w:instrText xml:space="preserve"> \* MERGEFORMAT </w:instrText>
      </w:r>
      <w:r w:rsidR="000A707F" w:rsidRPr="005357FF">
        <w:rPr>
          <w:u w:val="single"/>
        </w:rPr>
      </w:r>
      <w:r w:rsidR="000A707F" w:rsidRPr="005357FF">
        <w:rPr>
          <w:u w:val="single"/>
        </w:rPr>
        <w:fldChar w:fldCharType="separate"/>
      </w:r>
      <w:r w:rsidR="000A707F" w:rsidRPr="005357FF">
        <w:rPr>
          <w:u w:val="single"/>
        </w:rPr>
        <w:t>20.18</w:t>
      </w:r>
      <w:r w:rsidR="000A707F" w:rsidRPr="005357FF">
        <w:rPr>
          <w:u w:val="single"/>
        </w:rPr>
        <w:fldChar w:fldCharType="end"/>
      </w:r>
      <w:bookmarkEnd w:id="586"/>
      <w:r>
        <w:t xml:space="preserve">. </w:t>
      </w:r>
    </w:p>
    <w:p w14:paraId="41FCDA1A" w14:textId="65A08B29" w:rsidR="00B63F33" w:rsidRDefault="00B63F33" w:rsidP="002B7809">
      <w:pPr>
        <w:pStyle w:val="ArticleL3"/>
      </w:pPr>
      <w:bookmarkStart w:id="587" w:name="_Hlk46987094"/>
      <w:bookmarkStart w:id="588" w:name="_Ref149812097"/>
      <w:r>
        <w:t xml:space="preserve">In the case of an Option Preliminary Exercise Notice for an Equity Interest Acquisition, Company will deliver, together with the Option Preliminary Exercise Notice, its calculation of the purchase price for the Equity Interest Acquisition utilizing the formula for such determination set forth in </w:t>
      </w:r>
      <w:r w:rsidR="000E4265" w:rsidRPr="000E4265">
        <w:rPr>
          <w:u w:val="single"/>
        </w:rPr>
        <w:t>Exhibit L</w:t>
      </w:r>
      <w:r w:rsidR="000E4265">
        <w:rPr>
          <w:u w:val="single"/>
        </w:rPr>
        <w:t>-1</w:t>
      </w:r>
      <w:r w:rsidR="000E4265" w:rsidRPr="000E4265">
        <w:rPr>
          <w:u w:val="single"/>
        </w:rPr>
        <w:t xml:space="preserve"> - Equity Purchase Price Formula</w:t>
      </w:r>
      <w:r>
        <w:t xml:space="preserve"> The Parties’ reasonably believe, based on all facts and circumstances at the time of executing this PPA, that the purchase price for the Equity Interest Acquisition so determined by such formula will not be less than the fair market value of the Equity Interest on the relevant date</w:t>
      </w:r>
      <w:bookmarkEnd w:id="587"/>
      <w:r>
        <w:t xml:space="preserve">.  </w:t>
      </w:r>
      <w:r>
        <w:rPr>
          <w:szCs w:val="24"/>
        </w:rPr>
        <w:t xml:space="preserve">All information obtained by Company from such investigations shall be </w:t>
      </w:r>
      <w:proofErr w:type="gramStart"/>
      <w:r>
        <w:rPr>
          <w:szCs w:val="24"/>
        </w:rPr>
        <w:t>deemed</w:t>
      </w:r>
      <w:proofErr w:type="gramEnd"/>
      <w:r>
        <w:rPr>
          <w:szCs w:val="24"/>
        </w:rPr>
        <w:t xml:space="preserve"> Confidential Information subject to </w:t>
      </w:r>
      <w:r>
        <w:rPr>
          <w:szCs w:val="24"/>
          <w:u w:val="single"/>
        </w:rPr>
        <w:t xml:space="preserve">Section </w:t>
      </w:r>
      <w:r w:rsidR="000A707F">
        <w:rPr>
          <w:szCs w:val="24"/>
          <w:u w:val="single"/>
        </w:rPr>
        <w:fldChar w:fldCharType="begin"/>
      </w:r>
      <w:r w:rsidR="000A707F">
        <w:rPr>
          <w:szCs w:val="24"/>
          <w:u w:val="single"/>
        </w:rPr>
        <w:instrText xml:space="preserve"> REF _Ref149808696 \w \h </w:instrText>
      </w:r>
      <w:r w:rsidR="000A707F">
        <w:rPr>
          <w:szCs w:val="24"/>
          <w:u w:val="single"/>
        </w:rPr>
      </w:r>
      <w:r w:rsidR="000A707F">
        <w:rPr>
          <w:szCs w:val="24"/>
          <w:u w:val="single"/>
        </w:rPr>
        <w:fldChar w:fldCharType="separate"/>
      </w:r>
      <w:r w:rsidR="000A707F">
        <w:rPr>
          <w:szCs w:val="24"/>
          <w:u w:val="single"/>
        </w:rPr>
        <w:t>20.18</w:t>
      </w:r>
      <w:r w:rsidR="000A707F">
        <w:rPr>
          <w:szCs w:val="24"/>
          <w:u w:val="single"/>
        </w:rPr>
        <w:fldChar w:fldCharType="end"/>
      </w:r>
      <w:r>
        <w:rPr>
          <w:szCs w:val="24"/>
        </w:rPr>
        <w:t>.</w:t>
      </w:r>
      <w:bookmarkEnd w:id="588"/>
    </w:p>
    <w:p w14:paraId="1C47E2AD" w14:textId="2E7CD3B9" w:rsidR="00B63F33" w:rsidRDefault="00B63F33" w:rsidP="002B7809">
      <w:pPr>
        <w:pStyle w:val="ArticleL3"/>
      </w:pPr>
      <w:bookmarkStart w:id="589" w:name="_Hlk46987138"/>
      <w:r>
        <w:t>Following delivery of an Option Preliminary Exercise Notice, Seller shall provide to Company full access to the Facility and the Site, to Seller’s contracts, books and records, and to relevant personnel of Seller, during normal business hours</w:t>
      </w:r>
      <w:proofErr w:type="gramStart"/>
      <w:r>
        <w:t xml:space="preserve">.  </w:t>
      </w:r>
      <w:proofErr w:type="gramEnd"/>
      <w:r>
        <w:t xml:space="preserve">Such access shall include the right to conduct lien searches, surveys, inspections and tests (including environmental testing of the Site and operating tests on the Facility) necessary or </w:t>
      </w:r>
      <w:proofErr w:type="gramStart"/>
      <w:r>
        <w:t>appropriate for</w:t>
      </w:r>
      <w:proofErr w:type="gramEnd"/>
      <w:r>
        <w:t xml:space="preserve"> due diligence review of the Facility</w:t>
      </w:r>
      <w:r>
        <w:rPr>
          <w:szCs w:val="24"/>
        </w:rPr>
        <w:t xml:space="preserve">.  All information obtained by Company from such investigations shall be </w:t>
      </w:r>
      <w:proofErr w:type="gramStart"/>
      <w:r>
        <w:rPr>
          <w:szCs w:val="24"/>
        </w:rPr>
        <w:t>deemed</w:t>
      </w:r>
      <w:proofErr w:type="gramEnd"/>
      <w:r>
        <w:rPr>
          <w:szCs w:val="24"/>
        </w:rPr>
        <w:t xml:space="preserve"> Confidential Information subject to </w:t>
      </w:r>
      <w:r>
        <w:rPr>
          <w:szCs w:val="24"/>
          <w:u w:val="single"/>
        </w:rPr>
        <w:t xml:space="preserve">Section </w:t>
      </w:r>
      <w:r w:rsidR="000A707F">
        <w:rPr>
          <w:szCs w:val="24"/>
          <w:u w:val="single"/>
        </w:rPr>
        <w:fldChar w:fldCharType="begin"/>
      </w:r>
      <w:r w:rsidR="000A707F">
        <w:rPr>
          <w:szCs w:val="24"/>
          <w:u w:val="single"/>
        </w:rPr>
        <w:instrText xml:space="preserve"> REF _Ref149808701 \w \h </w:instrText>
      </w:r>
      <w:r w:rsidR="000A707F">
        <w:rPr>
          <w:szCs w:val="24"/>
          <w:u w:val="single"/>
        </w:rPr>
      </w:r>
      <w:r w:rsidR="000A707F">
        <w:rPr>
          <w:szCs w:val="24"/>
          <w:u w:val="single"/>
        </w:rPr>
        <w:fldChar w:fldCharType="separate"/>
      </w:r>
      <w:r w:rsidR="000A707F">
        <w:rPr>
          <w:szCs w:val="24"/>
          <w:u w:val="single"/>
        </w:rPr>
        <w:t>20.18</w:t>
      </w:r>
      <w:r w:rsidR="000A707F">
        <w:rPr>
          <w:szCs w:val="24"/>
          <w:u w:val="single"/>
        </w:rPr>
        <w:fldChar w:fldCharType="end"/>
      </w:r>
      <w:bookmarkEnd w:id="589"/>
      <w:r>
        <w:rPr>
          <w:szCs w:val="24"/>
        </w:rPr>
        <w:t xml:space="preserve">. </w:t>
      </w:r>
    </w:p>
    <w:p w14:paraId="0CCFC86A" w14:textId="77777777" w:rsidR="00B63F33" w:rsidRDefault="00B63F33" w:rsidP="002B7809">
      <w:pPr>
        <w:pStyle w:val="ArticleL3"/>
      </w:pPr>
      <w:r>
        <w:t>All inspections, testing and access to the Facility and the Site by Company and the appraiser shall comport with all of Seller’s policies governing the use, operation, and maintenance of the Facility, including health, safety and environmental requirements, and shall be conducted in a manner so as to minimize disruption in the operation of the Facility and to avoid any adverse economic impacts to Seller under this PPA.</w:t>
      </w:r>
    </w:p>
    <w:p w14:paraId="1A483B83" w14:textId="77777777" w:rsidR="00B63F33" w:rsidRDefault="00B63F33" w:rsidP="002B7809">
      <w:pPr>
        <w:pStyle w:val="ArticleL3"/>
      </w:pPr>
      <w:bookmarkStart w:id="590" w:name="_Hlk46987217"/>
      <w:r>
        <w:t>In the case of a Facility Acquisition, within sixty (60) Days following the determination of FMV as described above, Company may elect to purchase the Facility from Seller (an “</w:t>
      </w:r>
      <w:r>
        <w:rPr>
          <w:u w:val="single"/>
        </w:rPr>
        <w:t>Option</w:t>
      </w:r>
      <w:r>
        <w:t xml:space="preserve">”).  If Company fails to notify Seller of Company’s election </w:t>
      </w:r>
      <w:r>
        <w:lastRenderedPageBreak/>
        <w:t>within such 60-Day period, Company shall be deemed to have elected not to exercise the Option.</w:t>
      </w:r>
    </w:p>
    <w:p w14:paraId="601FE27C" w14:textId="0C9BAD4A" w:rsidR="00B63F33" w:rsidRDefault="00B63F33" w:rsidP="002B7809">
      <w:pPr>
        <w:pStyle w:val="ArticleL3"/>
      </w:pPr>
      <w:bookmarkStart w:id="591" w:name="_Ref149810950"/>
      <w:r>
        <w:t xml:space="preserve">In the case of a Facility Acquisition, the </w:t>
      </w:r>
      <w:r w:rsidR="00A564E9">
        <w:t>“Purchase Price”</w:t>
      </w:r>
      <w:r>
        <w:t xml:space="preserve"> to be paid by Company for the Facility in connection with exercise of the First Option shall be the greater of:</w:t>
      </w:r>
      <w:bookmarkEnd w:id="591"/>
    </w:p>
    <w:p w14:paraId="42409D57" w14:textId="64C7E759" w:rsidR="00B63F33" w:rsidRDefault="00B63F33" w:rsidP="002B7809">
      <w:pPr>
        <w:pStyle w:val="ArticleL4"/>
      </w:pPr>
      <w:bookmarkStart w:id="592" w:name="_Hlk47020263"/>
      <w:r>
        <w:t>the sum of:</w:t>
      </w:r>
    </w:p>
    <w:p w14:paraId="43E0FAD5" w14:textId="77777777" w:rsidR="00B63F33" w:rsidRDefault="00B63F33" w:rsidP="002B7809">
      <w:pPr>
        <w:pStyle w:val="ArticleL5"/>
      </w:pPr>
      <w:r>
        <w:t>(x) amount of Facility Debt (if any) as of the date of issuance of the Option Preliminary Exercise Notice, and</w:t>
      </w:r>
    </w:p>
    <w:p w14:paraId="29038A42" w14:textId="77777777" w:rsidR="00B63F33" w:rsidRDefault="00B63F33" w:rsidP="002B7809">
      <w:pPr>
        <w:pStyle w:val="ArticleL5"/>
      </w:pPr>
      <w:r>
        <w:t xml:space="preserve"> (y) if the relevant tax equity agreements allow the other members of the TE Partnership the option to purchase, at “fair market value” (as determined in those tax equity agreements) or a pre-determined price, the interest of the tax equity investor that has invested directly or indirectly in the Facility or Seller, then the amount of such purchase option price or, in any other case, the amount necessary to cause the after-tax internal rate of return of such tax equity investor’s investment to equal the targeted rate of return under its tax equity agreements, or</w:t>
      </w:r>
    </w:p>
    <w:p w14:paraId="07DBC765" w14:textId="77777777" w:rsidR="00B63F33" w:rsidRDefault="00B63F33" w:rsidP="002B7809">
      <w:pPr>
        <w:pStyle w:val="ArticleL4"/>
      </w:pPr>
      <w:r>
        <w:t>the FMV of the Facility, as determined by the appraiser.</w:t>
      </w:r>
    </w:p>
    <w:p w14:paraId="157D10C3" w14:textId="77777777" w:rsidR="00B63F33" w:rsidRDefault="00B63F33" w:rsidP="002B7809">
      <w:pPr>
        <w:pStyle w:val="ArticleL3"/>
      </w:pPr>
      <w:r>
        <w:t>If Company exercises the Option, the Parties shall use Commercially Reasonable Efforts to negotiate and sign either</w:t>
      </w:r>
      <w:bookmarkEnd w:id="592"/>
      <w:r>
        <w:t>:</w:t>
      </w:r>
    </w:p>
    <w:p w14:paraId="79F8BC9D" w14:textId="12C1B62E" w:rsidR="00B63F33" w:rsidRDefault="00B63F33" w:rsidP="002B7809">
      <w:pPr>
        <w:pStyle w:val="ArticleL4"/>
      </w:pPr>
      <w:r>
        <w:t xml:space="preserve">A PSA for the Facility.  The PSA shall include the terms and conditions set forth in </w:t>
      </w:r>
      <w:r w:rsidR="000E4265" w:rsidRPr="000E4265">
        <w:rPr>
          <w:u w:val="single"/>
        </w:rPr>
        <w:t xml:space="preserve">Exhibit </w:t>
      </w:r>
      <w:r w:rsidR="000E4265">
        <w:rPr>
          <w:u w:val="single"/>
        </w:rPr>
        <w:t>L-2</w:t>
      </w:r>
      <w:r w:rsidR="000E4265" w:rsidRPr="000E4265">
        <w:rPr>
          <w:u w:val="single"/>
        </w:rPr>
        <w:t xml:space="preserve"> - P</w:t>
      </w:r>
      <w:r w:rsidR="000E4265">
        <w:rPr>
          <w:u w:val="single"/>
        </w:rPr>
        <w:t>SA</w:t>
      </w:r>
      <w:r w:rsidR="000E4265" w:rsidRPr="000E4265">
        <w:rPr>
          <w:u w:val="single"/>
        </w:rPr>
        <w:t xml:space="preserve"> Provisions</w:t>
      </w:r>
      <w:r>
        <w:t xml:space="preserve">.   </w:t>
      </w:r>
    </w:p>
    <w:p w14:paraId="5668C094" w14:textId="77EB4FF4" w:rsidR="00B63F33" w:rsidRDefault="00B63F33" w:rsidP="002B7809">
      <w:pPr>
        <w:pStyle w:val="ArticleL4"/>
      </w:pPr>
      <w:r>
        <w:t xml:space="preserve">A PSA for the Equity Interest.   The PSA shall include the terms and conditions set forth in </w:t>
      </w:r>
      <w:r w:rsidR="000E4265" w:rsidRPr="000E4265">
        <w:rPr>
          <w:u w:val="single"/>
        </w:rPr>
        <w:t xml:space="preserve">Exhibit </w:t>
      </w:r>
      <w:r w:rsidR="000E4265">
        <w:rPr>
          <w:u w:val="single"/>
        </w:rPr>
        <w:t>L-3</w:t>
      </w:r>
      <w:r w:rsidR="000E4265" w:rsidRPr="000E4265">
        <w:rPr>
          <w:u w:val="single"/>
        </w:rPr>
        <w:t xml:space="preserve"> - </w:t>
      </w:r>
      <w:r w:rsidR="000E4265">
        <w:rPr>
          <w:u w:val="single"/>
        </w:rPr>
        <w:t>MIPSA</w:t>
      </w:r>
      <w:r w:rsidR="000E4265" w:rsidRPr="000E4265">
        <w:rPr>
          <w:u w:val="single"/>
        </w:rPr>
        <w:t xml:space="preserve"> Provisions</w:t>
      </w:r>
      <w:r>
        <w:t xml:space="preserve">. </w:t>
      </w:r>
    </w:p>
    <w:p w14:paraId="0BB0DD30" w14:textId="7E9000FC" w:rsidR="00B63F33" w:rsidRDefault="00B63F33" w:rsidP="002B7809">
      <w:pPr>
        <w:pStyle w:val="ArticleL3"/>
      </w:pPr>
      <w:r>
        <w:t xml:space="preserve">This </w:t>
      </w:r>
      <w:r>
        <w:rPr>
          <w:u w:val="single"/>
        </w:rPr>
        <w:t xml:space="preserve">Section </w:t>
      </w:r>
      <w:r w:rsidR="000A707F">
        <w:rPr>
          <w:u w:val="single"/>
        </w:rPr>
        <w:fldChar w:fldCharType="begin"/>
      </w:r>
      <w:r w:rsidR="000A707F">
        <w:rPr>
          <w:u w:val="single"/>
        </w:rPr>
        <w:instrText xml:space="preserve"> REF _Ref149744141 \w \h </w:instrText>
      </w:r>
      <w:r w:rsidR="000A707F">
        <w:rPr>
          <w:u w:val="single"/>
        </w:rPr>
      </w:r>
      <w:r w:rsidR="000A707F">
        <w:rPr>
          <w:u w:val="single"/>
        </w:rPr>
        <w:fldChar w:fldCharType="separate"/>
      </w:r>
      <w:r w:rsidR="000A707F">
        <w:rPr>
          <w:u w:val="single"/>
        </w:rPr>
        <w:t>19.5</w:t>
      </w:r>
      <w:r w:rsidR="000A707F">
        <w:rPr>
          <w:u w:val="single"/>
        </w:rPr>
        <w:fldChar w:fldCharType="end"/>
      </w:r>
      <w:r>
        <w:t xml:space="preserve"> shall be specifically enforceable by Company, without bond and without the need to prove irreparable harm. </w:t>
      </w:r>
    </w:p>
    <w:p w14:paraId="1B2231BD" w14:textId="7582ADA4" w:rsidR="00B63F33" w:rsidRDefault="00B63F33" w:rsidP="002B7809">
      <w:pPr>
        <w:pStyle w:val="ArticleL3"/>
      </w:pPr>
      <w:r>
        <w:t xml:space="preserve">Seller shall cooperate, and cause its Affiliates to cooperate, in all respects reasonably necessary for Company to exercise its rights under this </w:t>
      </w:r>
      <w:r w:rsidRPr="005357FF">
        <w:rPr>
          <w:u w:val="single"/>
        </w:rPr>
        <w:t xml:space="preserve">Section </w:t>
      </w:r>
      <w:r w:rsidR="000A707F">
        <w:rPr>
          <w:u w:val="single"/>
        </w:rPr>
        <w:fldChar w:fldCharType="begin"/>
      </w:r>
      <w:r w:rsidR="000A707F">
        <w:rPr>
          <w:u w:val="single"/>
        </w:rPr>
        <w:instrText xml:space="preserve"> REF _Ref149744141 \w \h </w:instrText>
      </w:r>
      <w:r w:rsidR="000A707F">
        <w:rPr>
          <w:u w:val="single"/>
        </w:rPr>
      </w:r>
      <w:r w:rsidR="000A707F">
        <w:rPr>
          <w:u w:val="single"/>
        </w:rPr>
        <w:fldChar w:fldCharType="separate"/>
      </w:r>
      <w:r w:rsidR="000A707F">
        <w:rPr>
          <w:u w:val="single"/>
        </w:rPr>
        <w:t>19.5</w:t>
      </w:r>
      <w:r w:rsidR="000A707F">
        <w:rPr>
          <w:u w:val="single"/>
        </w:rPr>
        <w:fldChar w:fldCharType="end"/>
      </w:r>
      <w:r>
        <w:t>, and shall operate the Facility in the ordinary course of business following the date of issuance of an Option Preliminary Exercise Notice.</w:t>
      </w:r>
      <w:bookmarkEnd w:id="590"/>
    </w:p>
    <w:p w14:paraId="09DAD516" w14:textId="15878C76" w:rsidR="00B63F33" w:rsidRDefault="00B63F33" w:rsidP="002B7809">
      <w:pPr>
        <w:pStyle w:val="ArticleL2"/>
      </w:pPr>
      <w:bookmarkStart w:id="593" w:name="_Toc147494925"/>
      <w:r w:rsidRPr="00791F59">
        <w:rPr>
          <w:rStyle w:val="ArticleL2UnderlineChar"/>
        </w:rPr>
        <w:t>Memo of Option</w:t>
      </w:r>
      <w:bookmarkEnd w:id="593"/>
      <w:r>
        <w:t xml:space="preserve">.   </w:t>
      </w:r>
    </w:p>
    <w:p w14:paraId="2B2D7407" w14:textId="0FCC3F90" w:rsidR="00B63F33" w:rsidRPr="00922467" w:rsidRDefault="00B63F33" w:rsidP="006C6E44">
      <w:pPr>
        <w:pStyle w:val="BodyTextFirstIndent"/>
      </w:pPr>
      <w:r w:rsidRPr="00922467">
        <w:t xml:space="preserve">In connection with the Parties’ execution and delivery of this PPA, the Parties are executing and Company is recording a Memorandum of Option memorializing its Default Option rights under </w:t>
      </w:r>
      <w:r w:rsidRPr="00922467">
        <w:rPr>
          <w:u w:val="single"/>
        </w:rPr>
        <w:t xml:space="preserve">Section </w:t>
      </w:r>
      <w:r w:rsidR="000A707F" w:rsidRPr="00922467">
        <w:rPr>
          <w:u w:val="single"/>
        </w:rPr>
        <w:fldChar w:fldCharType="begin"/>
      </w:r>
      <w:r w:rsidR="000A707F" w:rsidRPr="00922467">
        <w:rPr>
          <w:u w:val="single"/>
        </w:rPr>
        <w:instrText xml:space="preserve"> REF _Ref149742791 \w \h </w:instrText>
      </w:r>
      <w:r w:rsidR="000A707F" w:rsidRPr="00922467">
        <w:rPr>
          <w:u w:val="single"/>
        </w:rPr>
      </w:r>
      <w:r w:rsidR="000A707F" w:rsidRPr="00922467">
        <w:rPr>
          <w:u w:val="single"/>
        </w:rPr>
        <w:fldChar w:fldCharType="separate"/>
      </w:r>
      <w:r w:rsidR="000A707F" w:rsidRPr="00922467">
        <w:rPr>
          <w:u w:val="single"/>
        </w:rPr>
        <w:t>12.1(E)</w:t>
      </w:r>
      <w:r w:rsidR="000A707F" w:rsidRPr="00922467">
        <w:rPr>
          <w:u w:val="single"/>
        </w:rPr>
        <w:fldChar w:fldCharType="end"/>
      </w:r>
      <w:r w:rsidRPr="00922467">
        <w:t xml:space="preserve">, its ROFO rights under </w:t>
      </w:r>
      <w:r w:rsidRPr="00922467">
        <w:rPr>
          <w:u w:val="single"/>
        </w:rPr>
        <w:t xml:space="preserve">Section </w:t>
      </w:r>
      <w:r w:rsidR="000A707F" w:rsidRPr="00040932">
        <w:rPr>
          <w:u w:val="single"/>
        </w:rPr>
        <w:fldChar w:fldCharType="begin"/>
      </w:r>
      <w:r w:rsidR="000A707F" w:rsidRPr="00040932">
        <w:rPr>
          <w:u w:val="single"/>
        </w:rPr>
        <w:instrText xml:space="preserve"> REF _Hlk48743701 \w \h </w:instrText>
      </w:r>
      <w:r w:rsidR="00040932">
        <w:rPr>
          <w:u w:val="single"/>
        </w:rPr>
        <w:instrText xml:space="preserve"> \* MERGEFORMAT </w:instrText>
      </w:r>
      <w:r w:rsidR="000A707F" w:rsidRPr="00040932">
        <w:rPr>
          <w:u w:val="single"/>
        </w:rPr>
      </w:r>
      <w:r w:rsidR="000A707F" w:rsidRPr="00040932">
        <w:rPr>
          <w:u w:val="single"/>
        </w:rPr>
        <w:fldChar w:fldCharType="separate"/>
      </w:r>
      <w:r w:rsidR="000A707F" w:rsidRPr="00040932">
        <w:rPr>
          <w:u w:val="single"/>
        </w:rPr>
        <w:t>19.3</w:t>
      </w:r>
      <w:r w:rsidR="000A707F" w:rsidRPr="00040932">
        <w:rPr>
          <w:u w:val="single"/>
        </w:rPr>
        <w:fldChar w:fldCharType="end"/>
      </w:r>
      <w:r w:rsidRPr="00040932">
        <w:t xml:space="preserve">, </w:t>
      </w:r>
      <w:r w:rsidRPr="00922467">
        <w:t xml:space="preserve">and its Option rights under </w:t>
      </w:r>
      <w:r w:rsidRPr="00922467">
        <w:rPr>
          <w:u w:val="single"/>
        </w:rPr>
        <w:t xml:space="preserve">Section </w:t>
      </w:r>
      <w:r w:rsidR="000A707F" w:rsidRPr="00922467">
        <w:rPr>
          <w:u w:val="single"/>
        </w:rPr>
        <w:fldChar w:fldCharType="begin"/>
      </w:r>
      <w:r w:rsidR="000A707F" w:rsidRPr="00922467">
        <w:rPr>
          <w:u w:val="single"/>
        </w:rPr>
        <w:instrText xml:space="preserve"> REF _Ref149744141 \w \h </w:instrText>
      </w:r>
      <w:r w:rsidR="000A707F" w:rsidRPr="00922467">
        <w:rPr>
          <w:u w:val="single"/>
        </w:rPr>
      </w:r>
      <w:r w:rsidR="000A707F" w:rsidRPr="00922467">
        <w:rPr>
          <w:u w:val="single"/>
        </w:rPr>
        <w:fldChar w:fldCharType="separate"/>
      </w:r>
      <w:r w:rsidR="000A707F" w:rsidRPr="00922467">
        <w:rPr>
          <w:u w:val="single"/>
        </w:rPr>
        <w:t>19.5</w:t>
      </w:r>
      <w:r w:rsidR="000A707F" w:rsidRPr="00922467">
        <w:rPr>
          <w:u w:val="single"/>
        </w:rPr>
        <w:fldChar w:fldCharType="end"/>
      </w:r>
      <w:r w:rsidRPr="00922467">
        <w:t xml:space="preserve">.  </w:t>
      </w:r>
      <w:bookmarkEnd w:id="581"/>
      <w:bookmarkEnd w:id="582"/>
    </w:p>
    <w:p w14:paraId="09C8EB84" w14:textId="25EBE9C9" w:rsidR="00B63F33" w:rsidRDefault="00B63F33" w:rsidP="002B7809">
      <w:pPr>
        <w:pStyle w:val="ArticleL1"/>
      </w:pPr>
      <w:bookmarkStart w:id="594" w:name="_Toc288027314"/>
      <w:bookmarkStart w:id="595" w:name="_Toc433954056"/>
      <w:bookmarkStart w:id="596" w:name="_Toc433954214"/>
      <w:bookmarkStart w:id="597" w:name="_Toc147494926"/>
      <w:bookmarkEnd w:id="583"/>
      <w:r>
        <w:lastRenderedPageBreak/>
        <w:t>Miscellaneous</w:t>
      </w:r>
      <w:bookmarkEnd w:id="594"/>
      <w:bookmarkEnd w:id="595"/>
      <w:bookmarkEnd w:id="596"/>
      <w:bookmarkEnd w:id="597"/>
    </w:p>
    <w:p w14:paraId="7BFFD88D" w14:textId="66748CEC" w:rsidR="00B63F33" w:rsidRDefault="00B63F33" w:rsidP="002B7809">
      <w:pPr>
        <w:pStyle w:val="ArticleL2"/>
      </w:pPr>
      <w:bookmarkStart w:id="598" w:name="_Toc147494927"/>
      <w:bookmarkStart w:id="599" w:name="_Toc288027315"/>
      <w:bookmarkStart w:id="600" w:name="_Toc433954057"/>
      <w:bookmarkStart w:id="601" w:name="_Toc433954215"/>
      <w:r w:rsidRPr="00791F59">
        <w:rPr>
          <w:rStyle w:val="ArticleL2UnderlineChar"/>
        </w:rPr>
        <w:t>Notices</w:t>
      </w:r>
      <w:bookmarkEnd w:id="598"/>
      <w:r>
        <w:t xml:space="preserve">.  </w:t>
      </w:r>
    </w:p>
    <w:p w14:paraId="2123A2DE" w14:textId="470A5AC2" w:rsidR="00B63F33" w:rsidRDefault="00B63F33" w:rsidP="002B7809">
      <w:pPr>
        <w:pStyle w:val="ArticleL3"/>
      </w:pPr>
      <w:bookmarkStart w:id="602" w:name="_Ref149808797"/>
      <w:r>
        <w:t xml:space="preserve">Notices required by this PPA shall be in writing and addressed to the other Party at the addresses noted in </w:t>
      </w:r>
      <w:r w:rsidR="009076E2" w:rsidRPr="009076E2">
        <w:rPr>
          <w:u w:val="single"/>
        </w:rPr>
        <w:t xml:space="preserve">Exhibit D - Notices </w:t>
      </w:r>
      <w:r w:rsidR="009076E2">
        <w:rPr>
          <w:u w:val="single"/>
        </w:rPr>
        <w:t>a</w:t>
      </w:r>
      <w:r w:rsidR="009076E2" w:rsidRPr="009076E2">
        <w:rPr>
          <w:u w:val="single"/>
        </w:rPr>
        <w:t>nd Contact Information</w:t>
      </w:r>
      <w:r>
        <w:t xml:space="preserve">, as either Party updates such addresses from time to time by notice to the other Party.  </w:t>
      </w:r>
      <w:r>
        <w:rPr>
          <w:szCs w:val="24"/>
        </w:rPr>
        <w:t xml:space="preserve">A notice shall be deemed to have been received as follows: (1) if it is delivered by email, when the recipient, by an email sent to the email address for the sender stated in </w:t>
      </w:r>
      <w:r w:rsidR="009076E2" w:rsidRPr="009076E2">
        <w:rPr>
          <w:u w:val="single"/>
        </w:rPr>
        <w:t xml:space="preserve">Exhibit D - Notices </w:t>
      </w:r>
      <w:r w:rsidR="009076E2">
        <w:rPr>
          <w:u w:val="single"/>
        </w:rPr>
        <w:t>a</w:t>
      </w:r>
      <w:r w:rsidR="009076E2" w:rsidRPr="009076E2">
        <w:rPr>
          <w:u w:val="single"/>
        </w:rPr>
        <w:t>nd Contact Information</w:t>
      </w:r>
      <w:r w:rsidR="009076E2">
        <w:rPr>
          <w:szCs w:val="24"/>
          <w:u w:val="single"/>
        </w:rPr>
        <w:t xml:space="preserve"> </w:t>
      </w:r>
      <w:r>
        <w:rPr>
          <w:szCs w:val="24"/>
        </w:rPr>
        <w:t xml:space="preserve">or by a notice delivered by another method in accordance with this </w:t>
      </w:r>
      <w:r w:rsidRPr="005357FF">
        <w:rPr>
          <w:szCs w:val="24"/>
          <w:u w:val="single"/>
        </w:rPr>
        <w:t xml:space="preserve">Section </w:t>
      </w:r>
      <w:r w:rsidR="000A707F" w:rsidRPr="005357FF">
        <w:rPr>
          <w:szCs w:val="24"/>
          <w:u w:val="single"/>
        </w:rPr>
        <w:fldChar w:fldCharType="begin"/>
      </w:r>
      <w:r w:rsidR="000A707F" w:rsidRPr="005357FF">
        <w:rPr>
          <w:szCs w:val="24"/>
          <w:u w:val="single"/>
        </w:rPr>
        <w:instrText xml:space="preserve"> REF _Ref149808797 \w \h </w:instrText>
      </w:r>
      <w:r w:rsidR="000A707F">
        <w:rPr>
          <w:szCs w:val="24"/>
          <w:u w:val="single"/>
        </w:rPr>
        <w:instrText xml:space="preserve"> \* MERGEFORMAT </w:instrText>
      </w:r>
      <w:r w:rsidR="000A707F" w:rsidRPr="005357FF">
        <w:rPr>
          <w:szCs w:val="24"/>
          <w:u w:val="single"/>
        </w:rPr>
      </w:r>
      <w:r w:rsidR="000A707F" w:rsidRPr="005357FF">
        <w:rPr>
          <w:szCs w:val="24"/>
          <w:u w:val="single"/>
        </w:rPr>
        <w:fldChar w:fldCharType="separate"/>
      </w:r>
      <w:r w:rsidR="000A707F" w:rsidRPr="005357FF">
        <w:rPr>
          <w:szCs w:val="24"/>
          <w:u w:val="single"/>
        </w:rPr>
        <w:t>20.1(A)</w:t>
      </w:r>
      <w:r w:rsidR="000A707F" w:rsidRPr="005357FF">
        <w:rPr>
          <w:szCs w:val="24"/>
          <w:u w:val="single"/>
        </w:rPr>
        <w:fldChar w:fldCharType="end"/>
      </w:r>
      <w:r>
        <w:rPr>
          <w:szCs w:val="24"/>
        </w:rPr>
        <w:t xml:space="preserve">, acknowledges having received that email, with an automatic “read receipt” not constituting acknowledgment of an email for purposes of this </w:t>
      </w:r>
      <w:r w:rsidRPr="005357FF">
        <w:rPr>
          <w:szCs w:val="24"/>
          <w:u w:val="single"/>
        </w:rPr>
        <w:t xml:space="preserve">Section </w:t>
      </w:r>
      <w:r w:rsidR="000A707F" w:rsidRPr="005357FF">
        <w:rPr>
          <w:szCs w:val="24"/>
          <w:u w:val="single"/>
        </w:rPr>
        <w:fldChar w:fldCharType="begin"/>
      </w:r>
      <w:r w:rsidR="000A707F" w:rsidRPr="005357FF">
        <w:rPr>
          <w:szCs w:val="24"/>
          <w:u w:val="single"/>
        </w:rPr>
        <w:instrText xml:space="preserve"> REF _Ref149808797 \w \h </w:instrText>
      </w:r>
      <w:r w:rsidR="000A707F">
        <w:rPr>
          <w:szCs w:val="24"/>
          <w:u w:val="single"/>
        </w:rPr>
        <w:instrText xml:space="preserve"> \* MERGEFORMAT </w:instrText>
      </w:r>
      <w:r w:rsidR="000A707F" w:rsidRPr="005357FF">
        <w:rPr>
          <w:szCs w:val="24"/>
          <w:u w:val="single"/>
        </w:rPr>
      </w:r>
      <w:r w:rsidR="000A707F" w:rsidRPr="005357FF">
        <w:rPr>
          <w:szCs w:val="24"/>
          <w:u w:val="single"/>
        </w:rPr>
        <w:fldChar w:fldCharType="separate"/>
      </w:r>
      <w:r w:rsidR="000A707F" w:rsidRPr="005357FF">
        <w:rPr>
          <w:szCs w:val="24"/>
          <w:u w:val="single"/>
        </w:rPr>
        <w:t>20.1(A)</w:t>
      </w:r>
      <w:r w:rsidR="000A707F" w:rsidRPr="005357FF">
        <w:rPr>
          <w:szCs w:val="24"/>
          <w:u w:val="single"/>
        </w:rPr>
        <w:fldChar w:fldCharType="end"/>
      </w:r>
      <w:r>
        <w:rPr>
          <w:szCs w:val="24"/>
        </w:rPr>
        <w:t xml:space="preserve">; and, (2) If it is delivered in writing. when receipt is acknowledged in writing by the counterparty (or absent such acknowledgement, when delivered via third-party messenger or via FedEx or other reputable overnight courier service). Any notice shall be deemed to have been received by the close of the Business Day on which it was delivered. Real-time or routine communications concerning Facility operations shall be exempt from this </w:t>
      </w:r>
      <w:r w:rsidRPr="005357FF">
        <w:rPr>
          <w:szCs w:val="24"/>
          <w:u w:val="single"/>
        </w:rPr>
        <w:t xml:space="preserve">Section </w:t>
      </w:r>
      <w:r w:rsidR="000A707F" w:rsidRPr="005357FF">
        <w:rPr>
          <w:szCs w:val="24"/>
          <w:u w:val="single"/>
        </w:rPr>
        <w:fldChar w:fldCharType="begin"/>
      </w:r>
      <w:r w:rsidR="000A707F" w:rsidRPr="005357FF">
        <w:rPr>
          <w:szCs w:val="24"/>
          <w:u w:val="single"/>
        </w:rPr>
        <w:instrText xml:space="preserve"> REF _Ref149808797 \w \h </w:instrText>
      </w:r>
      <w:r w:rsidR="000A707F">
        <w:rPr>
          <w:szCs w:val="24"/>
          <w:u w:val="single"/>
        </w:rPr>
        <w:instrText xml:space="preserve"> \* MERGEFORMAT </w:instrText>
      </w:r>
      <w:r w:rsidR="000A707F" w:rsidRPr="005357FF">
        <w:rPr>
          <w:szCs w:val="24"/>
          <w:u w:val="single"/>
        </w:rPr>
      </w:r>
      <w:r w:rsidR="000A707F" w:rsidRPr="005357FF">
        <w:rPr>
          <w:szCs w:val="24"/>
          <w:u w:val="single"/>
        </w:rPr>
        <w:fldChar w:fldCharType="separate"/>
      </w:r>
      <w:r w:rsidR="000A707F" w:rsidRPr="005357FF">
        <w:rPr>
          <w:szCs w:val="24"/>
          <w:u w:val="single"/>
        </w:rPr>
        <w:t>20.1(A)</w:t>
      </w:r>
      <w:r w:rsidR="000A707F" w:rsidRPr="005357FF">
        <w:rPr>
          <w:szCs w:val="24"/>
          <w:u w:val="single"/>
        </w:rPr>
        <w:fldChar w:fldCharType="end"/>
      </w:r>
      <w:r>
        <w:rPr>
          <w:szCs w:val="24"/>
        </w:rPr>
        <w:t>.</w:t>
      </w:r>
      <w:bookmarkEnd w:id="602"/>
    </w:p>
    <w:p w14:paraId="6F2BEC0C" w14:textId="79147AEC" w:rsidR="00B63F33" w:rsidRDefault="00B63F33" w:rsidP="002B7809">
      <w:pPr>
        <w:pStyle w:val="ArticleL3"/>
      </w:pPr>
      <w:r>
        <w:t>The Parties recognize the need for accurate communications between them.  Each Party consents to the recording of telephone conversations between their employees and representatives, related to the performance and administration of this PPA.</w:t>
      </w:r>
      <w:bookmarkEnd w:id="599"/>
      <w:bookmarkEnd w:id="600"/>
      <w:bookmarkEnd w:id="601"/>
    </w:p>
    <w:p w14:paraId="030B7A8E" w14:textId="38408CAA" w:rsidR="00B63F33" w:rsidRDefault="00B63F33" w:rsidP="002B7809">
      <w:pPr>
        <w:pStyle w:val="ArticleL2"/>
      </w:pPr>
      <w:bookmarkStart w:id="603" w:name="_Toc147494928"/>
      <w:bookmarkStart w:id="604" w:name="_Toc288027316"/>
      <w:bookmarkStart w:id="605" w:name="_Toc433954058"/>
      <w:bookmarkStart w:id="606" w:name="_Toc433954216"/>
      <w:r w:rsidRPr="00791F59">
        <w:rPr>
          <w:rStyle w:val="ArticleL2UnderlineChar"/>
        </w:rPr>
        <w:t>Taxes</w:t>
      </w:r>
      <w:bookmarkEnd w:id="603"/>
      <w:r>
        <w:t>.</w:t>
      </w:r>
      <w:bookmarkEnd w:id="604"/>
      <w:bookmarkEnd w:id="605"/>
      <w:bookmarkEnd w:id="606"/>
    </w:p>
    <w:p w14:paraId="6A69462A" w14:textId="77777777" w:rsidR="00B63F33" w:rsidRDefault="00B63F33" w:rsidP="002B7809">
      <w:pPr>
        <w:pStyle w:val="ArticleL3"/>
      </w:pPr>
      <w:r>
        <w:t xml:space="preserve">Company shall purchase all Renewable Energy on a wholesale basis, for resale to Company’s wholesale and retail customers.  Company shall obtain and provide Seller with any certificates required by any Governmental Authority or otherwise reasonably requested by Seller to evidence that the deliveries of Renewable Energy hereunder are sales for resale.  </w:t>
      </w:r>
    </w:p>
    <w:p w14:paraId="63B5BC62" w14:textId="1B8C00C9" w:rsidR="00B63F33" w:rsidRDefault="00B63F33" w:rsidP="002B7809">
      <w:pPr>
        <w:pStyle w:val="ArticleL3"/>
      </w:pPr>
      <w:bookmarkStart w:id="607" w:name="_Ref149808851"/>
      <w:r>
        <w:t>As between the Parties, Company shall be solely responsible for the payment of (1) any sales, use or equivalent taxes imposed by Governmental Authorities, whether now in existence or hereafter enacted, on the purchase of Renewable Energy and any other products and services purchased by Company hereunder at or beyond the Point of Delivery, and (2) any taxes imposed by Governmental Authorities, whether now in existence or hereafter enacted, on the transmission of Renewable Energy beyond the Point of Delivery.</w:t>
      </w:r>
      <w:bookmarkEnd w:id="607"/>
      <w:r>
        <w:t xml:space="preserve"> </w:t>
      </w:r>
    </w:p>
    <w:p w14:paraId="4E08E77F" w14:textId="295F0677" w:rsidR="00B63F33" w:rsidRDefault="00B63F33" w:rsidP="002B7809">
      <w:pPr>
        <w:pStyle w:val="ArticleL3"/>
      </w:pPr>
      <w:r>
        <w:t xml:space="preserve">Subject to </w:t>
      </w:r>
      <w:r>
        <w:rPr>
          <w:u w:val="single"/>
        </w:rPr>
        <w:t xml:space="preserve">Section </w:t>
      </w:r>
      <w:r w:rsidR="000A707F">
        <w:rPr>
          <w:u w:val="single"/>
        </w:rPr>
        <w:fldChar w:fldCharType="begin"/>
      </w:r>
      <w:r w:rsidR="000A707F">
        <w:rPr>
          <w:u w:val="single"/>
        </w:rPr>
        <w:instrText xml:space="preserve"> REF _Ref149808851 \w \h </w:instrText>
      </w:r>
      <w:r w:rsidR="000A707F">
        <w:rPr>
          <w:u w:val="single"/>
        </w:rPr>
      </w:r>
      <w:r w:rsidR="000A707F">
        <w:rPr>
          <w:u w:val="single"/>
        </w:rPr>
        <w:fldChar w:fldCharType="separate"/>
      </w:r>
      <w:r w:rsidR="000A707F">
        <w:rPr>
          <w:u w:val="single"/>
        </w:rPr>
        <w:t>20.2(B)</w:t>
      </w:r>
      <w:r w:rsidR="000A707F">
        <w:rPr>
          <w:u w:val="single"/>
        </w:rPr>
        <w:fldChar w:fldCharType="end"/>
      </w:r>
      <w:r>
        <w:t xml:space="preserve">, Seller shall be solely responsible for any and all present and future taxes and other impositions of Governmental Authorities relating to the construction, ownership or leasing, operation or maintenance of the Facility and the Site (including </w:t>
      </w:r>
      <w:r>
        <w:rPr>
          <w:i/>
          <w:iCs/>
        </w:rPr>
        <w:t>ad valorem</w:t>
      </w:r>
      <w:r>
        <w:t xml:space="preserve"> taxes on the Facility and the Site), and any taxes imposed prior to the Point of Delivery with respect to the products and services to be sold and delivered to Company hereunder, whether calculated based upon cost, value, labor, capital, production, savings, green attributes or other parameters.  Seller’s prices under </w:t>
      </w:r>
      <w:r w:rsidR="000A707F">
        <w:rPr>
          <w:u w:val="single"/>
        </w:rPr>
        <w:lastRenderedPageBreak/>
        <w:fldChar w:fldCharType="begin"/>
      </w:r>
      <w:r w:rsidR="000A707F">
        <w:instrText xml:space="preserve"> REF _Ref149808863 \w \h </w:instrText>
      </w:r>
      <w:r w:rsidR="000A707F">
        <w:rPr>
          <w:u w:val="single"/>
        </w:rPr>
      </w:r>
      <w:r w:rsidR="000A707F">
        <w:rPr>
          <w:u w:val="single"/>
        </w:rPr>
        <w:fldChar w:fldCharType="separate"/>
      </w:r>
      <w:r w:rsidR="000A707F">
        <w:t>Article 8</w:t>
      </w:r>
      <w:r w:rsidR="000A707F">
        <w:rPr>
          <w:u w:val="single"/>
        </w:rPr>
        <w:fldChar w:fldCharType="end"/>
      </w:r>
      <w:r>
        <w:t xml:space="preserve"> are inclusive of such taxes and impositions during the Term, and Seller assumes the risk of changes in such taxes after the Effective Date</w:t>
      </w:r>
      <w:proofErr w:type="gramStart"/>
      <w:r>
        <w:t xml:space="preserve">.  </w:t>
      </w:r>
      <w:proofErr w:type="gramEnd"/>
    </w:p>
    <w:p w14:paraId="46A5E28E" w14:textId="77777777" w:rsidR="00B63F33" w:rsidRDefault="00B63F33" w:rsidP="002B7809">
      <w:pPr>
        <w:pStyle w:val="ArticleL3"/>
      </w:pPr>
      <w:r>
        <w:t xml:space="preserve">The Parties shall cooperate to minimize tax exposure, </w:t>
      </w:r>
      <w:r>
        <w:rPr>
          <w:i/>
        </w:rPr>
        <w:t xml:space="preserve">provided, however, </w:t>
      </w:r>
      <w:r>
        <w:t>that neither Party shall be obligated to incur any financial burden to reduce taxes for which the other Party is responsible hereunder.</w:t>
      </w:r>
    </w:p>
    <w:p w14:paraId="64F13F3F" w14:textId="4930E621" w:rsidR="00B63F33" w:rsidRDefault="00B63F33" w:rsidP="002B7809">
      <w:pPr>
        <w:pStyle w:val="ArticleL2"/>
      </w:pPr>
      <w:bookmarkStart w:id="608" w:name="_Toc147494929"/>
      <w:bookmarkStart w:id="609" w:name="_Toc433954059"/>
      <w:bookmarkStart w:id="610" w:name="_Toc433954217"/>
      <w:bookmarkStart w:id="611" w:name="_Ref149809096"/>
      <w:bookmarkStart w:id="612" w:name="_Toc288027317"/>
      <w:r w:rsidRPr="00791F59">
        <w:rPr>
          <w:rStyle w:val="ArticleL2UnderlineChar"/>
        </w:rPr>
        <w:t>Applicable Laws</w:t>
      </w:r>
      <w:bookmarkEnd w:id="608"/>
      <w:r>
        <w:t>.  Each Party shall comply with all Applicable Laws (including the Transmission Authority Tariff), except for any non-compliance that (individually or in the aggregate) could not reasonably be expected to have a Material Adverse Effect on the other Party or on such Party’s ability to perform this PPA.</w:t>
      </w:r>
      <w:bookmarkEnd w:id="609"/>
      <w:bookmarkEnd w:id="610"/>
      <w:bookmarkEnd w:id="611"/>
      <w:r>
        <w:t xml:space="preserve">  </w:t>
      </w:r>
      <w:bookmarkEnd w:id="612"/>
    </w:p>
    <w:p w14:paraId="16142FAD" w14:textId="77777777" w:rsidR="00B63F33" w:rsidRDefault="00B63F33" w:rsidP="002B7809">
      <w:pPr>
        <w:pStyle w:val="ArticleL3"/>
      </w:pPr>
      <w:r>
        <w:t xml:space="preserve">As applicable, each Party shall give all required notices, shall </w:t>
      </w:r>
      <w:proofErr w:type="gramStart"/>
      <w:r>
        <w:t>procure</w:t>
      </w:r>
      <w:proofErr w:type="gramEnd"/>
      <w:r>
        <w:t xml:space="preserve"> and maintain all Permits necessary for performance of this PPA, and shall pay its respective charges and fees in connection therewith.</w:t>
      </w:r>
    </w:p>
    <w:p w14:paraId="1F75C6E2" w14:textId="6506E573" w:rsidR="00B63F33" w:rsidRDefault="00B63F33" w:rsidP="002B7809">
      <w:pPr>
        <w:pStyle w:val="ArticleL3"/>
      </w:pPr>
      <w:r>
        <w:t>Each Party shall promptly disclose to the other Party, any violation of any Applicable Laws arising out of their performance of this PPA.</w:t>
      </w:r>
    </w:p>
    <w:p w14:paraId="045B8713" w14:textId="549D6317" w:rsidR="00B63F33" w:rsidRDefault="00B63F33" w:rsidP="002B7809">
      <w:pPr>
        <w:pStyle w:val="ArticleL3"/>
      </w:pPr>
      <w:r>
        <w:t xml:space="preserve">Upon permanent cessation of operation of the Facility, Seller shall decommission and remove the Facility and remediate the Site as, </w:t>
      </w:r>
      <w:proofErr w:type="gramStart"/>
      <w:r>
        <w:t>if and when</w:t>
      </w:r>
      <w:proofErr w:type="gramEnd"/>
      <w:r>
        <w:t xml:space="preserve"> required by Applicable Laws.</w:t>
      </w:r>
    </w:p>
    <w:p w14:paraId="46599581" w14:textId="3D87D880" w:rsidR="00B63F33" w:rsidRDefault="00B63F33" w:rsidP="002B7809">
      <w:pPr>
        <w:pStyle w:val="ArticleL3"/>
      </w:pPr>
      <w:bookmarkStart w:id="613" w:name="_Toc288027322"/>
      <w:bookmarkStart w:id="614" w:name="_Toc288027318"/>
      <w:r>
        <w:t>Seller acknowledges that as a government contractor Company is subject to Applicable Laws regarding equal employment opportunity and affirmative action, including 41 C.F.R. §60</w:t>
      </w:r>
      <w:r>
        <w:noBreakHyphen/>
        <w:t>1.4(a)</w:t>
      </w:r>
      <w:r w:rsidR="006503FF">
        <w:t xml:space="preserve"> </w:t>
      </w:r>
      <w:r>
        <w:t>(1-7).  Such Applicable Laws may also be applicable to Seller as a subcontractor to Company.  All such Applicable Laws shall be deemed to be incorporated herein as required by Applicable Law.</w:t>
      </w:r>
      <w:bookmarkEnd w:id="613"/>
    </w:p>
    <w:p w14:paraId="75C95924" w14:textId="1F89751A" w:rsidR="00B63F33" w:rsidRDefault="00DA2B9E" w:rsidP="002B7809">
      <w:pPr>
        <w:pStyle w:val="ArticleL3"/>
      </w:pPr>
      <w:r>
        <w:t xml:space="preserve">Except as specifically set forth in this </w:t>
      </w:r>
      <w:r>
        <w:rPr>
          <w:u w:val="single"/>
        </w:rPr>
        <w:t xml:space="preserve">Section </w:t>
      </w:r>
      <w:r w:rsidR="002842B4">
        <w:rPr>
          <w:u w:val="single"/>
        </w:rPr>
        <w:fldChar w:fldCharType="begin"/>
      </w:r>
      <w:r w:rsidR="002842B4">
        <w:rPr>
          <w:u w:val="single"/>
        </w:rPr>
        <w:instrText xml:space="preserve"> REF _Ref149809096 \w \h </w:instrText>
      </w:r>
      <w:r w:rsidR="002842B4">
        <w:rPr>
          <w:u w:val="single"/>
        </w:rPr>
      </w:r>
      <w:r w:rsidR="002842B4">
        <w:rPr>
          <w:u w:val="single"/>
        </w:rPr>
        <w:fldChar w:fldCharType="separate"/>
      </w:r>
      <w:r w:rsidR="002842B4">
        <w:rPr>
          <w:u w:val="single"/>
        </w:rPr>
        <w:t>20.3</w:t>
      </w:r>
      <w:r w:rsidR="002842B4">
        <w:rPr>
          <w:u w:val="single"/>
        </w:rPr>
        <w:fldChar w:fldCharType="end"/>
      </w:r>
      <w:r>
        <w:t xml:space="preserve"> and elsewhere in this PPA, each Party assumes the risk of changes in Applicable Laws following the Effective Date, that affect such Party’s costs of ownership and operation of its assets, and its performance of this PPA, except as otherwise specifically set forth herein. </w:t>
      </w:r>
    </w:p>
    <w:p w14:paraId="32B0236D" w14:textId="0910BC02" w:rsidR="00B63F33" w:rsidRDefault="00B63F33" w:rsidP="00791F59">
      <w:pPr>
        <w:pStyle w:val="ArticleL2"/>
      </w:pPr>
      <w:bookmarkStart w:id="615" w:name="_Toc147494930"/>
      <w:bookmarkStart w:id="616" w:name="_Toc433954060"/>
      <w:bookmarkStart w:id="617" w:name="_Toc433954218"/>
      <w:r w:rsidRPr="00791F59">
        <w:rPr>
          <w:rStyle w:val="ArticleL2UnderlineChar"/>
        </w:rPr>
        <w:t>Fines and Penalties</w:t>
      </w:r>
      <w:bookmarkEnd w:id="615"/>
      <w:r>
        <w:t>.</w:t>
      </w:r>
      <w:bookmarkEnd w:id="614"/>
      <w:bookmarkEnd w:id="616"/>
      <w:bookmarkEnd w:id="617"/>
      <w:r>
        <w:t xml:space="preserve">  </w:t>
      </w:r>
      <w:bookmarkStart w:id="618" w:name="_Hlk46483207"/>
      <w:r>
        <w:t>Seller shall pay when due all fees, fines, penalties and costs incurred by Company, Seller and/or their agents, employees or contractors arising from noncompliance by Seller, its employees, or subcontractors with any provision of this PPA, or any contractual obligation, Permit or requirements of Applicable Law, except for such fines, penalties and costs that are being actively contested in good faith and with due diligence by Seller and for which adequate financial reserves have been set aside to pay such fines, penalties or costs in the event of an adverse determination</w:t>
      </w:r>
      <w:bookmarkEnd w:id="618"/>
    </w:p>
    <w:p w14:paraId="2A4BE3AA" w14:textId="27924F45" w:rsidR="00B63F33" w:rsidRDefault="00B63F33" w:rsidP="002B7809">
      <w:pPr>
        <w:pStyle w:val="ArticleL2"/>
      </w:pPr>
      <w:bookmarkStart w:id="619" w:name="_Toc147494931"/>
      <w:bookmarkStart w:id="620" w:name="_Toc288027319"/>
      <w:bookmarkStart w:id="621" w:name="_Toc433954061"/>
      <w:bookmarkStart w:id="622" w:name="_Toc433954219"/>
      <w:r w:rsidRPr="00791F59">
        <w:rPr>
          <w:rStyle w:val="ArticleL2UnderlineChar"/>
        </w:rPr>
        <w:t>Rate Changes</w:t>
      </w:r>
      <w:bookmarkEnd w:id="619"/>
      <w:r>
        <w:t>.</w:t>
      </w:r>
      <w:bookmarkEnd w:id="620"/>
      <w:bookmarkEnd w:id="621"/>
      <w:bookmarkEnd w:id="622"/>
    </w:p>
    <w:p w14:paraId="3C69CD25" w14:textId="4035C5CE" w:rsidR="00B63F33" w:rsidRDefault="00B63F33" w:rsidP="002B7809">
      <w:pPr>
        <w:pStyle w:val="ArticleL3"/>
      </w:pPr>
      <w:r>
        <w:t xml:space="preserve">The terms and conditions and the rates for service specified in this PPA shall remain in effect for the Term hereof.  Neither Party shall seek (nor support any third party seeking) any prospective or retroactive change to the rates or terms of service under this PPA pursuant to Sections </w:t>
      </w:r>
      <w:r>
        <w:rPr>
          <w:strike/>
          <w:u w:color="FF0000"/>
        </w:rPr>
        <w:t>§</w:t>
      </w:r>
      <w:r>
        <w:t xml:space="preserve">205, </w:t>
      </w:r>
      <w:r>
        <w:rPr>
          <w:strike/>
          <w:u w:color="FF0000"/>
        </w:rPr>
        <w:t>§</w:t>
      </w:r>
      <w:r>
        <w:t xml:space="preserve">206 or </w:t>
      </w:r>
      <w:r>
        <w:rPr>
          <w:strike/>
          <w:u w:color="FF0000"/>
        </w:rPr>
        <w:t>§</w:t>
      </w:r>
      <w:r>
        <w:t>306 of the Federal Power Act.</w:t>
      </w:r>
    </w:p>
    <w:p w14:paraId="41EFDCDB" w14:textId="77777777" w:rsidR="00B63F33" w:rsidRDefault="00B63F33" w:rsidP="002B7809">
      <w:pPr>
        <w:pStyle w:val="ArticleL3"/>
        <w:rPr>
          <w:color w:val="000000"/>
        </w:rPr>
      </w:pPr>
      <w:r>
        <w:t xml:space="preserve">The standard of review for changes to this PPA whether proposed by a Party, a non-party, or FERC acting </w:t>
      </w:r>
      <w:proofErr w:type="spellStart"/>
      <w:r>
        <w:rPr>
          <w:i/>
        </w:rPr>
        <w:t>sua</w:t>
      </w:r>
      <w:proofErr w:type="spellEnd"/>
      <w:r>
        <w:rPr>
          <w:i/>
        </w:rPr>
        <w:t xml:space="preserve"> sponte</w:t>
      </w:r>
      <w:r>
        <w:t xml:space="preserve"> shall be the “public interest” standard of </w:t>
      </w:r>
      <w:r>
        <w:lastRenderedPageBreak/>
        <w:t xml:space="preserve">review set forth in </w:t>
      </w:r>
      <w:r>
        <w:rPr>
          <w:i/>
        </w:rPr>
        <w:t>United Gas Pipe Line v. Mobile Gas Service Corp</w:t>
      </w:r>
      <w:r>
        <w:t xml:space="preserve">., 350 U.S. 332 (1956) and </w:t>
      </w:r>
      <w:r>
        <w:rPr>
          <w:i/>
        </w:rPr>
        <w:t>Federal Power Commission v. Sierra Pacific Power Co</w:t>
      </w:r>
      <w:r>
        <w:t xml:space="preserve">., 350 U.S. 348 (1956) (aka the “Mobile-Sierra doctrine”), as interpreted in </w:t>
      </w:r>
      <w:r>
        <w:rPr>
          <w:i/>
        </w:rPr>
        <w:t>Morgan Stanley Capital Group, Inc. v. Public Util. Dist. No. 1,</w:t>
      </w:r>
      <w:r>
        <w:t xml:space="preserve"> 128 S. Ct. 2733 (2008).</w:t>
      </w:r>
    </w:p>
    <w:p w14:paraId="42C35F7C" w14:textId="3A7A965B" w:rsidR="00B63F33" w:rsidRPr="00922467" w:rsidRDefault="00B63F33" w:rsidP="00791F59">
      <w:pPr>
        <w:pStyle w:val="ArticleL2"/>
      </w:pPr>
      <w:bookmarkStart w:id="623" w:name="_Toc147494932"/>
      <w:bookmarkStart w:id="624" w:name="_Toc433954062"/>
      <w:bookmarkStart w:id="625" w:name="_Toc433954220"/>
      <w:bookmarkStart w:id="626" w:name="_Toc288027320"/>
      <w:r w:rsidRPr="00791F59">
        <w:rPr>
          <w:rStyle w:val="ArticleL2UnderlineChar"/>
        </w:rPr>
        <w:t>Certifications</w:t>
      </w:r>
      <w:bookmarkEnd w:id="623"/>
      <w:r>
        <w:t xml:space="preserve">.  Each Party shall deliver or cause to be delivered to the other Party certificates of its officers, accountants, engineers or agents as to matters as may be reasonably requested, and shall make available personnel and records relating to the Facility to the extent that the requesting Party requires the same in order to fulfill any regulatory reporting requirements, or to assist the requesting Party in litigation, including administrative </w:t>
      </w:r>
      <w:r w:rsidRPr="00922467">
        <w:t>proceedings before the MPUC/ND PSC.</w:t>
      </w:r>
      <w:bookmarkEnd w:id="624"/>
      <w:bookmarkEnd w:id="625"/>
    </w:p>
    <w:p w14:paraId="26A7C378" w14:textId="77C8821E" w:rsidR="00B63F33" w:rsidRDefault="00B63F33" w:rsidP="00791F59">
      <w:pPr>
        <w:pStyle w:val="ArticleL2"/>
      </w:pPr>
      <w:bookmarkStart w:id="627" w:name="_Toc147494933"/>
      <w:bookmarkStart w:id="628" w:name="_Toc433954063"/>
      <w:bookmarkStart w:id="629" w:name="_Toc433954221"/>
      <w:r w:rsidRPr="00922467">
        <w:rPr>
          <w:rStyle w:val="ArticleL2UnderlineChar"/>
        </w:rPr>
        <w:t>Disclaimer of Third-Party Beneficiaries</w:t>
      </w:r>
      <w:bookmarkEnd w:id="627"/>
      <w:r w:rsidRPr="00922467">
        <w:t>.  In executing this PPA</w:t>
      </w:r>
      <w:r>
        <w:t>, Company does not and does not intend to extend its credit or financial support for the benefit of any Facility Lender or any other third party transacting with Seller.  Nothing in this PPA shall be construed to create any duty to, or standard of care with reference to, or any liability to, any person not a party to this PPA.</w:t>
      </w:r>
      <w:bookmarkEnd w:id="626"/>
      <w:bookmarkEnd w:id="628"/>
      <w:bookmarkEnd w:id="629"/>
    </w:p>
    <w:p w14:paraId="0D02A671" w14:textId="1499C4D7" w:rsidR="00B63F33" w:rsidRDefault="00B63F33" w:rsidP="002B7809">
      <w:pPr>
        <w:pStyle w:val="ArticleL2"/>
      </w:pPr>
      <w:bookmarkStart w:id="630" w:name="_Toc147494934"/>
      <w:bookmarkStart w:id="631" w:name="_Toc288027321"/>
      <w:bookmarkStart w:id="632" w:name="_Toc433954064"/>
      <w:bookmarkStart w:id="633" w:name="_Toc433954222"/>
      <w:r w:rsidRPr="00791F59">
        <w:rPr>
          <w:rStyle w:val="ArticleL2UnderlineChar"/>
        </w:rPr>
        <w:t>Relationship of the Parties</w:t>
      </w:r>
      <w:bookmarkEnd w:id="630"/>
      <w:r>
        <w:t>.</w:t>
      </w:r>
      <w:bookmarkEnd w:id="631"/>
      <w:bookmarkEnd w:id="632"/>
      <w:bookmarkEnd w:id="633"/>
    </w:p>
    <w:p w14:paraId="39B7FA58" w14:textId="77777777" w:rsidR="00B63F33" w:rsidRDefault="00B63F33" w:rsidP="002B7809">
      <w:pPr>
        <w:pStyle w:val="ArticleL3"/>
      </w:pPr>
      <w:r>
        <w:t>This PPA shall not be interpreted to create an association, joint venture, or partnership between the Parties, nor to impose any partnership obligation or liability upon either Party.  Except as specifically provided for in this PPA to the contrary, neither Party shall have any right, power, or authority to enter into any agreement or undertaking for, or act on behalf of, or to act as an agent or representative of, the other Party.</w:t>
      </w:r>
    </w:p>
    <w:p w14:paraId="620BCBC5" w14:textId="77777777" w:rsidR="00B63F33" w:rsidRDefault="00B63F33" w:rsidP="002B7809">
      <w:pPr>
        <w:pStyle w:val="ArticleL3"/>
      </w:pPr>
      <w:r>
        <w:t>Seller shall be solely liable for the payment of all wages, taxes, and other costs related to the employment of persons to perform such services, including all federal, state, and local income, social security, payroll, and employment taxes and statutorily mandated workers’ compensation coverage.  None of the persons employed by Seller shall be considered employees of Company for any purpose; nor shall Seller represent to any person that he or she is or shall become a Company employee.</w:t>
      </w:r>
    </w:p>
    <w:p w14:paraId="6E0070CC" w14:textId="3E3CF230" w:rsidR="00B63F33" w:rsidRDefault="00B63F33" w:rsidP="00791F59">
      <w:pPr>
        <w:pStyle w:val="ArticleL2"/>
      </w:pPr>
      <w:bookmarkStart w:id="634" w:name="_Toc147494935"/>
      <w:bookmarkStart w:id="635" w:name="_Toc288027323"/>
      <w:bookmarkStart w:id="636" w:name="_Toc433954065"/>
      <w:bookmarkStart w:id="637" w:name="_Toc433954223"/>
      <w:r w:rsidRPr="00791F59">
        <w:rPr>
          <w:rStyle w:val="ArticleL2UnderlineChar"/>
        </w:rPr>
        <w:t>Survival of Obligations</w:t>
      </w:r>
      <w:bookmarkEnd w:id="634"/>
      <w:r>
        <w:t>.  Cancellation, expiration, or earlier termination of this PPA shall not relieve the Parties of obligations, including warranties, remedies, or indemnities, that by their nature should survive such cancellation, expiration, or termination, which obligations shall survive for the period of the applicable statute(s) of limitation.</w:t>
      </w:r>
      <w:bookmarkEnd w:id="635"/>
      <w:bookmarkEnd w:id="636"/>
      <w:bookmarkEnd w:id="637"/>
    </w:p>
    <w:p w14:paraId="3061E2AD" w14:textId="2EB4C6F3" w:rsidR="00B63F33" w:rsidRPr="00791F59" w:rsidRDefault="00B63F33" w:rsidP="00791F59">
      <w:pPr>
        <w:pStyle w:val="ArticleL2"/>
        <w:rPr>
          <w:b/>
          <w:bCs/>
        </w:rPr>
      </w:pPr>
      <w:bookmarkStart w:id="638" w:name="_Toc147494936"/>
      <w:bookmarkStart w:id="639" w:name="_Toc288027324"/>
      <w:bookmarkStart w:id="640" w:name="_Toc433954066"/>
      <w:bookmarkStart w:id="641" w:name="_Toc433954224"/>
      <w:r w:rsidRPr="00791F59">
        <w:rPr>
          <w:rStyle w:val="ArticleL2UnderlineChar"/>
        </w:rPr>
        <w:t>Severability</w:t>
      </w:r>
      <w:bookmarkEnd w:id="638"/>
      <w:r>
        <w:t>.  In the event any of the terms, covenants, or conditions of this PPA, its Exhibits, or the application of any such terms, covenants, or conditions, shall be held invalid, illegal, or unenforceable by any court or administrative body having jurisdiction, all other terms, covenants, and conditions of the PPA and their application not adversely affected thereby shall remain in force and effect</w:t>
      </w:r>
      <w:r w:rsidRPr="00791F59">
        <w:rPr>
          <w:b/>
          <w:bCs/>
        </w:rPr>
        <w:t xml:space="preserve">; </w:t>
      </w:r>
      <w:r w:rsidRPr="00791F59">
        <w:rPr>
          <w:rStyle w:val="Emphasis"/>
          <w:bCs/>
        </w:rPr>
        <w:t xml:space="preserve">provided, however, that </w:t>
      </w:r>
      <w:r w:rsidRPr="00791F59">
        <w:rPr>
          <w:rStyle w:val="Emphasis"/>
          <w:bCs/>
          <w:i w:val="0"/>
        </w:rPr>
        <w:t xml:space="preserve">Company and Seller shall negotiate in good faith to attempt to implement an equitable adjustment in the provisions of this PPA with a view toward effecting the purposes of this PPA by replacing the provision that is held invalid, illegal, or unenforceable with a valid </w:t>
      </w:r>
      <w:r w:rsidRPr="00791F59">
        <w:rPr>
          <w:rStyle w:val="Emphasis"/>
          <w:bCs/>
          <w:i w:val="0"/>
        </w:rPr>
        <w:lastRenderedPageBreak/>
        <w:t>provision the economic effect of which comes as close as possible to that of the provision that has been found to be invalid, illegal or unenforceable.</w:t>
      </w:r>
      <w:bookmarkEnd w:id="639"/>
      <w:bookmarkEnd w:id="640"/>
      <w:bookmarkEnd w:id="641"/>
    </w:p>
    <w:p w14:paraId="1658C881" w14:textId="3F684D8A" w:rsidR="00B63F33" w:rsidRDefault="00B63F33" w:rsidP="00791F59">
      <w:pPr>
        <w:pStyle w:val="ArticleL2"/>
      </w:pPr>
      <w:bookmarkStart w:id="642" w:name="_Toc147494937"/>
      <w:bookmarkStart w:id="643" w:name="_Toc288027325"/>
      <w:bookmarkStart w:id="644" w:name="_Toc433954067"/>
      <w:bookmarkStart w:id="645" w:name="_Toc433954225"/>
      <w:r w:rsidRPr="00791F59">
        <w:rPr>
          <w:rStyle w:val="ArticleL2UnderlineChar"/>
        </w:rPr>
        <w:t>Complete Agreement; Amendments</w:t>
      </w:r>
      <w:bookmarkEnd w:id="642"/>
      <w:r>
        <w:t>.  The terms and provisions contained in this PPA constitute the entire agreement between Company and Seller with respect to the Facility and shall supersede all previous communications, representations, or agreements, either verbal or written, between Company and Seller with respect to the sale and delivery of the products and services required by this PPA.  Any amendment of this PPA, or any waiver of any provision hereof, shall be evidenced by a writing signed by the Parties to be bound thereby.</w:t>
      </w:r>
      <w:bookmarkEnd w:id="643"/>
      <w:bookmarkEnd w:id="644"/>
      <w:bookmarkEnd w:id="645"/>
    </w:p>
    <w:p w14:paraId="064CAB27" w14:textId="6A35942F" w:rsidR="00B63F33" w:rsidRDefault="00B63F33" w:rsidP="00791F59">
      <w:pPr>
        <w:pStyle w:val="ArticleL2"/>
        <w:keepNext w:val="0"/>
      </w:pPr>
      <w:bookmarkStart w:id="646" w:name="_Toc147494938"/>
      <w:bookmarkStart w:id="647" w:name="_Toc433954068"/>
      <w:bookmarkStart w:id="648" w:name="_Toc433954226"/>
      <w:bookmarkStart w:id="649" w:name="_Toc288027326"/>
      <w:r w:rsidRPr="00791F59">
        <w:rPr>
          <w:rStyle w:val="ArticleL2UnderlineChar"/>
        </w:rPr>
        <w:t>Waiver</w:t>
      </w:r>
      <w:bookmarkEnd w:id="646"/>
      <w:r>
        <w:t>.  The failure of either Party to enforce or insist upon compliance with or strict performance of any of the terms or conditions of this PPA, or to take advantage of any of its rights hereunder, shall not constitute a waiver or relinquishment of any such terms, conditions, or rights, but the same shall be and remain at all times in full force and effect.</w:t>
      </w:r>
      <w:bookmarkEnd w:id="647"/>
      <w:bookmarkEnd w:id="648"/>
    </w:p>
    <w:p w14:paraId="5245F580" w14:textId="64723568" w:rsidR="00B63F33" w:rsidRDefault="00B63F33" w:rsidP="00791F59">
      <w:pPr>
        <w:pStyle w:val="ArticleL2"/>
        <w:keepNext w:val="0"/>
      </w:pPr>
      <w:bookmarkStart w:id="650" w:name="_Toc147494939"/>
      <w:bookmarkStart w:id="651" w:name="_Toc433954069"/>
      <w:bookmarkStart w:id="652" w:name="_Toc433954227"/>
      <w:r w:rsidRPr="00791F59">
        <w:rPr>
          <w:rStyle w:val="ArticleL2UnderlineChar"/>
        </w:rPr>
        <w:t>Binding Effect</w:t>
      </w:r>
      <w:bookmarkEnd w:id="650"/>
      <w:r>
        <w:t>.  This PPA is binding upon and shall inure to the benefit of the Parties hereto and their respective successors, legal representatives, and assigns.</w:t>
      </w:r>
      <w:bookmarkEnd w:id="649"/>
      <w:bookmarkEnd w:id="651"/>
      <w:bookmarkEnd w:id="652"/>
    </w:p>
    <w:p w14:paraId="43D75C74" w14:textId="5858D428" w:rsidR="00B63F33" w:rsidRDefault="00B63F33" w:rsidP="00CE16BF">
      <w:pPr>
        <w:pStyle w:val="ArticleL2"/>
        <w:keepNext w:val="0"/>
      </w:pPr>
      <w:bookmarkStart w:id="653" w:name="_Toc147494940"/>
      <w:bookmarkStart w:id="654" w:name="_Toc288027327"/>
      <w:bookmarkStart w:id="655" w:name="_Toc433954070"/>
      <w:bookmarkStart w:id="656" w:name="_Toc433954228"/>
      <w:r w:rsidRPr="00CE16BF">
        <w:rPr>
          <w:rStyle w:val="ArticleL2UnderlineChar"/>
        </w:rPr>
        <w:t>Headings</w:t>
      </w:r>
      <w:bookmarkEnd w:id="653"/>
      <w:r>
        <w:t>.  Captions and headings used in this PPA are for ease of reference only and do not constitute a part of this PPA.</w:t>
      </w:r>
      <w:bookmarkEnd w:id="654"/>
      <w:bookmarkEnd w:id="655"/>
      <w:bookmarkEnd w:id="656"/>
    </w:p>
    <w:p w14:paraId="5A492A77" w14:textId="13C2C122" w:rsidR="00B63F33" w:rsidRDefault="00B63F33" w:rsidP="00CE16BF">
      <w:pPr>
        <w:pStyle w:val="ArticleL2"/>
      </w:pPr>
      <w:bookmarkStart w:id="657" w:name="_Toc147494941"/>
      <w:bookmarkStart w:id="658" w:name="_Toc288027328"/>
      <w:bookmarkStart w:id="659" w:name="_Toc433954071"/>
      <w:bookmarkStart w:id="660" w:name="_Toc433954229"/>
      <w:r w:rsidRPr="00CE16BF">
        <w:rPr>
          <w:rStyle w:val="ArticleL2UnderlineChar"/>
        </w:rPr>
        <w:t>Counterparts and Electronic Signatures</w:t>
      </w:r>
      <w:bookmarkEnd w:id="657"/>
      <w:r>
        <w:t xml:space="preserve">.  </w:t>
      </w:r>
      <w:bookmarkEnd w:id="658"/>
      <w:bookmarkEnd w:id="659"/>
      <w:bookmarkEnd w:id="660"/>
      <w:r>
        <w:t xml:space="preserve">This PPA may be executed in counterparts, and each executed counterpart shall have the same force and effect as an original instrument.  A manually signed copy of this PPA, or a copy of this PPA signed with an electronic or digital signature, delivered by e-mail shall be deemed to have the same legal effect as delivery of an original signed copy of this </w:t>
      </w:r>
      <w:bookmarkStart w:id="661" w:name="_cp_change_152"/>
      <w:r w:rsidRPr="00CE16BF">
        <w:rPr>
          <w:color w:val="000000" w:themeColor="text1"/>
        </w:rPr>
        <w:t>PPA</w:t>
      </w:r>
      <w:bookmarkEnd w:id="661"/>
      <w:r>
        <w:t>.  No legally binding obligation shall be created with respect to a Party until such Party has delivered or caused to be delivered a signed copy of this PPA.</w:t>
      </w:r>
    </w:p>
    <w:p w14:paraId="41D0E3A2" w14:textId="280F486C" w:rsidR="00B63F33" w:rsidRDefault="00B63F33" w:rsidP="00CE16BF">
      <w:pPr>
        <w:pStyle w:val="ArticleL2"/>
      </w:pPr>
      <w:bookmarkStart w:id="662" w:name="_Toc147494942"/>
      <w:bookmarkStart w:id="663" w:name="_Toc433954072"/>
      <w:bookmarkStart w:id="664" w:name="_Toc433954230"/>
      <w:bookmarkStart w:id="665" w:name="_Toc288027330"/>
      <w:r w:rsidRPr="00CE16BF">
        <w:rPr>
          <w:rStyle w:val="ArticleL2UnderlineChar"/>
        </w:rPr>
        <w:t>Press Release</w:t>
      </w:r>
      <w:bookmarkEnd w:id="662"/>
      <w:r>
        <w:t xml:space="preserve">.  Upon the request of either Party, the Parties shall develop a mutually agreed joint press release to be issued describing the location, size and nature of the Facility, the Term, and other relevant </w:t>
      </w:r>
      <w:proofErr w:type="gramStart"/>
      <w:r>
        <w:t>factual information</w:t>
      </w:r>
      <w:proofErr w:type="gramEnd"/>
      <w:r>
        <w:t xml:space="preserve"> about the relationship.</w:t>
      </w:r>
      <w:bookmarkEnd w:id="663"/>
      <w:bookmarkEnd w:id="664"/>
      <w:r>
        <w:t xml:space="preserve"> </w:t>
      </w:r>
      <w:bookmarkEnd w:id="665"/>
    </w:p>
    <w:p w14:paraId="3A50E63E" w14:textId="0C5318C5" w:rsidR="00B63F33" w:rsidRDefault="00B63F33" w:rsidP="00CE16BF">
      <w:pPr>
        <w:pStyle w:val="ArticleL2"/>
      </w:pPr>
      <w:bookmarkStart w:id="666" w:name="_Toc147494943"/>
      <w:bookmarkStart w:id="667" w:name="_Toc288027331"/>
      <w:bookmarkStart w:id="668" w:name="_Toc433954073"/>
      <w:bookmarkStart w:id="669" w:name="_Toc433954231"/>
      <w:r w:rsidRPr="00CE16BF">
        <w:rPr>
          <w:rStyle w:val="ArticleL2UnderlineChar"/>
        </w:rPr>
        <w:t>Exhibits</w:t>
      </w:r>
      <w:bookmarkEnd w:id="666"/>
      <w:r>
        <w:t xml:space="preserve">.  Either Party may change the information in </w:t>
      </w:r>
      <w:r w:rsidRPr="00CE16BF">
        <w:rPr>
          <w:u w:val="single"/>
        </w:rPr>
        <w:t>Exhibit D – Notices and Contact Information</w:t>
      </w:r>
      <w:r>
        <w:t xml:space="preserve"> at any time by notice without the approval of the other Party.  All </w:t>
      </w:r>
      <w:r>
        <w:lastRenderedPageBreak/>
        <w:t>other Exhibits may be changed to the extent allowed by specific provisions of this PPA or with the mutual consent of both Parties.</w:t>
      </w:r>
      <w:bookmarkEnd w:id="667"/>
      <w:bookmarkEnd w:id="668"/>
      <w:bookmarkEnd w:id="669"/>
    </w:p>
    <w:p w14:paraId="4C9DB223" w14:textId="1E0996FE" w:rsidR="00B63F33" w:rsidRDefault="00B63F33" w:rsidP="002B7809">
      <w:pPr>
        <w:pStyle w:val="ArticleL2"/>
      </w:pPr>
      <w:bookmarkStart w:id="670" w:name="_Toc147494944"/>
      <w:bookmarkStart w:id="671" w:name="_Toc288027332"/>
      <w:bookmarkStart w:id="672" w:name="_Ref149742967"/>
      <w:bookmarkStart w:id="673" w:name="_Ref149743262"/>
      <w:bookmarkStart w:id="674" w:name="_Ref149743392"/>
      <w:bookmarkStart w:id="675" w:name="_Ref149743779"/>
      <w:bookmarkStart w:id="676" w:name="_Ref149743784"/>
      <w:bookmarkStart w:id="677" w:name="_Ref149808560"/>
      <w:bookmarkStart w:id="678" w:name="_Ref149808568"/>
      <w:bookmarkStart w:id="679" w:name="_Ref149808614"/>
      <w:bookmarkStart w:id="680" w:name="_Ref149808682"/>
      <w:bookmarkStart w:id="681" w:name="_Ref149808696"/>
      <w:bookmarkStart w:id="682" w:name="_Ref149808701"/>
      <w:bookmarkStart w:id="683" w:name="_Ref149809140"/>
      <w:bookmarkStart w:id="684" w:name="_Ref149809674"/>
      <w:bookmarkStart w:id="685" w:name="_Ref149813653"/>
      <w:bookmarkStart w:id="686" w:name="_Toc433954074"/>
      <w:bookmarkStart w:id="687" w:name="_Toc433954232"/>
      <w:r w:rsidRPr="00CE16BF">
        <w:rPr>
          <w:rStyle w:val="ArticleL2UnderlineChar"/>
        </w:rPr>
        <w:t>Confidentiality</w:t>
      </w:r>
      <w:bookmarkEnd w:id="670"/>
      <w:r>
        <w:t>.</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r>
        <w:t xml:space="preserve"> </w:t>
      </w:r>
      <w:bookmarkEnd w:id="686"/>
      <w:bookmarkEnd w:id="687"/>
    </w:p>
    <w:p w14:paraId="58C7CBD8" w14:textId="72390435" w:rsidR="00B63F33" w:rsidRDefault="00B63F33" w:rsidP="002B7809">
      <w:pPr>
        <w:pStyle w:val="ArticleL3"/>
      </w:pPr>
      <w:r>
        <w:t>For purposes hereof, “</w:t>
      </w:r>
      <w:r>
        <w:rPr>
          <w:u w:val="single"/>
        </w:rPr>
        <w:t>Confidential Information</w:t>
      </w:r>
      <w:r>
        <w:t>” means:</w:t>
      </w:r>
    </w:p>
    <w:p w14:paraId="03E4033A" w14:textId="77777777" w:rsidR="00B63F33" w:rsidRDefault="00B63F33" w:rsidP="002B7809">
      <w:pPr>
        <w:pStyle w:val="ArticleL4"/>
      </w:pPr>
      <w:r>
        <w:t>information specifically designated as Confidential Information in this PPA; and</w:t>
      </w:r>
    </w:p>
    <w:p w14:paraId="5D5C6ECF" w14:textId="081062A7" w:rsidR="00B63F33" w:rsidRDefault="00B63F33" w:rsidP="002B7809">
      <w:pPr>
        <w:pStyle w:val="ArticleL4"/>
      </w:pPr>
      <w:r>
        <w:t xml:space="preserve">written information delivered by one Party to the other from time to time during the Term, which information is labeled prominently as “Confidential,” “Proprietary” or the like </w:t>
      </w:r>
      <w:r>
        <w:rPr>
          <w:u w:val="single"/>
        </w:rPr>
        <w:t>and</w:t>
      </w:r>
      <w:r>
        <w:t xml:space="preserve"> specifically references this PPA.</w:t>
      </w:r>
    </w:p>
    <w:p w14:paraId="3E13D184" w14:textId="620C9B09" w:rsidR="00B63F33" w:rsidRPr="00354077" w:rsidRDefault="00B63F33" w:rsidP="00B525E8">
      <w:pPr>
        <w:pStyle w:val="BodyText"/>
        <w:spacing w:after="160"/>
        <w:ind w:left="810" w:firstLine="1800"/>
        <w:jc w:val="both"/>
        <w:rPr>
          <w:lang w:val="en-US"/>
        </w:rPr>
      </w:pPr>
      <w:r>
        <w:rPr>
          <w:i/>
        </w:rPr>
        <w:t>provided, however</w:t>
      </w:r>
      <w:r>
        <w:t>, that “Confidential Information” shall not include information that</w:t>
      </w:r>
      <w:r w:rsidR="00354077">
        <w:rPr>
          <w:lang w:val="en-US"/>
        </w:rPr>
        <w:t>:</w:t>
      </w:r>
    </w:p>
    <w:p w14:paraId="19599863" w14:textId="77777777" w:rsidR="00B63F33" w:rsidRDefault="00B63F33" w:rsidP="007C5A7E">
      <w:pPr>
        <w:pStyle w:val="BodyText"/>
        <w:numPr>
          <w:ilvl w:val="0"/>
          <w:numId w:val="41"/>
        </w:numPr>
        <w:tabs>
          <w:tab w:val="left" w:pos="2340"/>
        </w:tabs>
        <w:spacing w:after="160"/>
        <w:jc w:val="both"/>
      </w:pPr>
      <w:r>
        <w:t>is publicly available as of the Effective Date, or becomes publicly available during the Term through no fault of the recipient Party;</w:t>
      </w:r>
    </w:p>
    <w:p w14:paraId="1D37C2DE" w14:textId="77777777" w:rsidR="00B63F33" w:rsidRDefault="00B63F33" w:rsidP="007C5A7E">
      <w:pPr>
        <w:pStyle w:val="BodyText"/>
        <w:numPr>
          <w:ilvl w:val="0"/>
          <w:numId w:val="41"/>
        </w:numPr>
        <w:tabs>
          <w:tab w:val="left" w:pos="2340"/>
        </w:tabs>
        <w:spacing w:after="160"/>
        <w:ind w:left="2340" w:hanging="540"/>
        <w:jc w:val="both"/>
      </w:pPr>
      <w:r>
        <w:t>can be documented was independently developed by the recipient Party;  and/or</w:t>
      </w:r>
    </w:p>
    <w:p w14:paraId="7F3B7B43" w14:textId="77777777" w:rsidR="00B63F33" w:rsidRDefault="00B63F33" w:rsidP="007C5A7E">
      <w:pPr>
        <w:pStyle w:val="BodyText"/>
        <w:numPr>
          <w:ilvl w:val="0"/>
          <w:numId w:val="41"/>
        </w:numPr>
        <w:tabs>
          <w:tab w:val="left" w:pos="2340"/>
        </w:tabs>
        <w:spacing w:after="160"/>
        <w:ind w:left="2340" w:hanging="540"/>
        <w:jc w:val="both"/>
      </w:pPr>
      <w:r>
        <w:t xml:space="preserve">is disclosed to the recipient Party from an ultimate source other than the protected Party, without breach of this PPA by the recipient Party.  </w:t>
      </w:r>
    </w:p>
    <w:p w14:paraId="27F4B785" w14:textId="77A557BD" w:rsidR="00B63F33" w:rsidRDefault="00B63F33" w:rsidP="002B7809">
      <w:pPr>
        <w:pStyle w:val="ArticleL3"/>
      </w:pPr>
      <w:r>
        <w:t xml:space="preserve">The recipient Party shall (i) maintain the confidentiality of all Confidential Information of the protected Party, using the same degree of care used by the recipient Party to protect its own Confidential Information (and in any event not less than a reasonable degree of care), and (ii) shall use Confidential Information only in connection with its performance of this PPA.  Confidential Information may be disclosed by the recipient Party to its agents, employees, directors, officers, consultants, auditors, lenders and equity investors, subject to their acceptance of the obligations of confidentiality imposed hereby and for whose violations of this </w:t>
      </w:r>
      <w:r>
        <w:rPr>
          <w:u w:val="single"/>
        </w:rPr>
        <w:t xml:space="preserve">Section </w:t>
      </w:r>
      <w:r w:rsidR="002842B4">
        <w:rPr>
          <w:u w:val="single"/>
        </w:rPr>
        <w:fldChar w:fldCharType="begin"/>
      </w:r>
      <w:r w:rsidR="002842B4">
        <w:rPr>
          <w:u w:val="single"/>
        </w:rPr>
        <w:instrText xml:space="preserve"> REF _Ref149809140 \w \h </w:instrText>
      </w:r>
      <w:r w:rsidR="002842B4">
        <w:rPr>
          <w:u w:val="single"/>
        </w:rPr>
      </w:r>
      <w:r w:rsidR="002842B4">
        <w:rPr>
          <w:u w:val="single"/>
        </w:rPr>
        <w:fldChar w:fldCharType="separate"/>
      </w:r>
      <w:r w:rsidR="002842B4">
        <w:rPr>
          <w:u w:val="single"/>
        </w:rPr>
        <w:t>20.18</w:t>
      </w:r>
      <w:r w:rsidR="002842B4">
        <w:rPr>
          <w:u w:val="single"/>
        </w:rPr>
        <w:fldChar w:fldCharType="end"/>
      </w:r>
      <w:r>
        <w:t xml:space="preserve"> the recipient Party shall be responsible. </w:t>
      </w:r>
    </w:p>
    <w:p w14:paraId="565A86FB" w14:textId="70B4E62E" w:rsidR="00957850" w:rsidRDefault="004D2C7E" w:rsidP="002B7809">
      <w:pPr>
        <w:pStyle w:val="ArticleL3"/>
      </w:pPr>
      <w:bookmarkStart w:id="688" w:name="_Hlk46225490"/>
      <w:r w:rsidRPr="00957850">
        <w:t xml:space="preserve">In the event that Confidential Information is disclosed to the </w:t>
      </w:r>
      <w:bookmarkStart w:id="689" w:name="_cp_change_157"/>
      <w:r w:rsidRPr="00957850">
        <w:t>MPUC/ND PSC</w:t>
      </w:r>
      <w:bookmarkEnd w:id="689"/>
      <w:r w:rsidRPr="00957850">
        <w:t xml:space="preserve">, their staff, parties, intervenors, participants or consumer counsel in any regulatory or administrative proceedings before the </w:t>
      </w:r>
      <w:bookmarkStart w:id="690" w:name="_cp_change_161"/>
      <w:r w:rsidRPr="00957850">
        <w:t>MPUC/ND PSC</w:t>
      </w:r>
      <w:bookmarkEnd w:id="690"/>
      <w:r w:rsidRPr="00957850">
        <w:t xml:space="preserve">, </w:t>
      </w:r>
      <w:r w:rsidR="00954A05" w:rsidRPr="00957850">
        <w:t xml:space="preserve">or </w:t>
      </w:r>
      <w:r w:rsidR="00E46CBE" w:rsidRPr="00957850">
        <w:t>Confidential Information is disclosed to the MPUC/</w:t>
      </w:r>
      <w:bookmarkStart w:id="691" w:name="_cp_change_171"/>
      <w:r w:rsidR="00954A05" w:rsidRPr="00957850">
        <w:t xml:space="preserve"> </w:t>
      </w:r>
      <w:r w:rsidR="00E46CBE" w:rsidRPr="00957850">
        <w:t>ND PSC, their staff,</w:t>
      </w:r>
      <w:bookmarkEnd w:id="691"/>
      <w:r w:rsidR="00E46CBE" w:rsidRPr="00957850">
        <w:t xml:space="preserve"> or consumer counsel </w:t>
      </w:r>
      <w:bookmarkStart w:id="692" w:name="_cp_change_173"/>
      <w:r w:rsidR="00E46CBE" w:rsidRPr="00957850">
        <w:t>outside of</w:t>
      </w:r>
      <w:bookmarkEnd w:id="692"/>
      <w:r w:rsidR="00E46CBE" w:rsidRPr="00957850">
        <w:t xml:space="preserve"> any regulatory or administrative proceedings before the MPUC/</w:t>
      </w:r>
      <w:bookmarkStart w:id="693" w:name="_cp_change_175"/>
      <w:r w:rsidR="00E46CBE" w:rsidRPr="00957850">
        <w:t>ND PSC</w:t>
      </w:r>
      <w:bookmarkEnd w:id="693"/>
      <w:r w:rsidR="00E46CBE" w:rsidRPr="00957850">
        <w:t xml:space="preserve">, the disclosing Party shall submit such Confidential information in accordance with </w:t>
      </w:r>
      <w:bookmarkStart w:id="694" w:name="_cp_change_176"/>
      <w:r w:rsidR="00E46CBE" w:rsidRPr="00957850">
        <w:t xml:space="preserve">applicable MPUC/ND PSC confidentiality rules and procedures, </w:t>
      </w:r>
      <w:bookmarkEnd w:id="694"/>
      <w:r w:rsidR="00E46CBE" w:rsidRPr="00957850">
        <w:t>the MPUC/</w:t>
      </w:r>
      <w:bookmarkStart w:id="695" w:name="_cp_change_178"/>
      <w:r w:rsidR="00E46CBE" w:rsidRPr="00957850">
        <w:t xml:space="preserve">ND PSC </w:t>
      </w:r>
      <w:bookmarkEnd w:id="695"/>
      <w:r w:rsidR="00E46CBE" w:rsidRPr="00957850">
        <w:t>pr</w:t>
      </w:r>
      <w:r w:rsidR="00E46CBE">
        <w:t xml:space="preserve">otective order or signed non-disclosure agreement. </w:t>
      </w:r>
      <w:bookmarkStart w:id="696" w:name="_cp_change_184"/>
      <w:bookmarkStart w:id="697" w:name="_Hlk46225613"/>
      <w:bookmarkEnd w:id="688"/>
    </w:p>
    <w:p w14:paraId="69E1862A" w14:textId="3EF4F4A7" w:rsidR="00B4560C" w:rsidRPr="00957850" w:rsidRDefault="00B63F33" w:rsidP="002B7809">
      <w:pPr>
        <w:pStyle w:val="ArticleL3"/>
      </w:pPr>
      <w:r>
        <w:t>I</w:t>
      </w:r>
      <w:bookmarkEnd w:id="696"/>
      <w:r>
        <w:t xml:space="preserve">n the event that Confidential Information must otherwise be disclosed by Applicable Law (e.g. pursuant to subpoena or civil discovery), the Party required to make disclosure shall notify the protected Party sufficiently in advance to allow the </w:t>
      </w:r>
      <w:r>
        <w:lastRenderedPageBreak/>
        <w:t>protected Party a reasonable opportunity to obtain a protective order or seek other remedies, prior to disclosure by the recipient Party.</w:t>
      </w:r>
      <w:bookmarkEnd w:id="697"/>
      <w:r>
        <w:t xml:space="preserve">  </w:t>
      </w:r>
    </w:p>
    <w:p w14:paraId="663DAEF6" w14:textId="36C7EC57" w:rsidR="00B63F33" w:rsidRDefault="00B63F33" w:rsidP="002B7809">
      <w:pPr>
        <w:pStyle w:val="ArticleL2"/>
      </w:pPr>
      <w:bookmarkStart w:id="698" w:name="_Toc147494945"/>
      <w:bookmarkStart w:id="699" w:name="_Ref149811974"/>
      <w:r w:rsidRPr="00CE16BF">
        <w:rPr>
          <w:rStyle w:val="ArticleL2UnderlineChar"/>
        </w:rPr>
        <w:t>Accounting Treatment</w:t>
      </w:r>
      <w:bookmarkEnd w:id="698"/>
      <w:r>
        <w:t>.</w:t>
      </w:r>
      <w:bookmarkEnd w:id="699"/>
      <w:r>
        <w:t xml:space="preserve"> </w:t>
      </w:r>
    </w:p>
    <w:p w14:paraId="676DFDFD" w14:textId="77777777" w:rsidR="00B63F33" w:rsidRDefault="00B63F33" w:rsidP="002B7809">
      <w:pPr>
        <w:pStyle w:val="ArticleL3"/>
      </w:pPr>
      <w:proofErr w:type="gramStart"/>
      <w:r>
        <w:t>If and when</w:t>
      </w:r>
      <w:proofErr w:type="gramEnd"/>
      <w:r>
        <w:t xml:space="preserve"> Company reasonably determines that Company must consolidate financial information of Seller into Company’s financial statements under FASB ASC 810 or other accounting standard applicable to Company: </w:t>
      </w:r>
    </w:p>
    <w:p w14:paraId="01B5BEF6" w14:textId="1F9C9A6B" w:rsidR="00B63F33" w:rsidRDefault="00B63F33" w:rsidP="002B7809">
      <w:pPr>
        <w:pStyle w:val="ArticleL4"/>
      </w:pPr>
      <w:r>
        <w:t xml:space="preserve">the Parties shall use Commercially Reasonable Efforts to amend this PPA and/or the Parties’ protocols for operation of the Facility to avoid such treatment, at the least possible cost to the Parties, consistent with the intent of this PPA to the extent </w:t>
      </w:r>
      <w:r w:rsidR="000138FD">
        <w:t>possible; or</w:t>
      </w:r>
    </w:p>
    <w:p w14:paraId="346B93FF" w14:textId="77777777" w:rsidR="00B63F33" w:rsidRDefault="00B63F33" w:rsidP="002B7809">
      <w:pPr>
        <w:pStyle w:val="ArticleL4"/>
      </w:pPr>
      <w:r>
        <w:t>if such avoidance is not reasonably feasible, Seller shall provide to Company from time to time upon request such quarterly and annual financial information as may be needed for Company to comply with such standard, in such format and within such time frames as Company may reasonably request.</w:t>
      </w:r>
    </w:p>
    <w:p w14:paraId="1E19730F" w14:textId="77777777" w:rsidR="00B63F33" w:rsidRDefault="00B63F33" w:rsidP="002B7809">
      <w:pPr>
        <w:pStyle w:val="ArticleL3"/>
      </w:pPr>
      <w:r>
        <w:t>If and when Company reasonably determines that Company must treat this PPA as a “finance lease” under FASB ASC 842 or other accounting standard applicable to Company, the Parties shall use Commercially Reasonable Efforts to amend this PPA and/or the Parties’ protocols for operation of the Facility to avoid such treatment, at the least possible cost to the Parties, consistent with the intent of this PPA to the extent possible, if so requested by Company.</w:t>
      </w:r>
    </w:p>
    <w:p w14:paraId="515FD3A0" w14:textId="77777777" w:rsidR="00B63F33" w:rsidRPr="00BF6254" w:rsidRDefault="00B63F33" w:rsidP="00691098">
      <w:pPr>
        <w:pStyle w:val="BodyText"/>
      </w:pPr>
    </w:p>
    <w:p w14:paraId="64467E69" w14:textId="77777777" w:rsidR="00B63F33" w:rsidRDefault="00B63F33">
      <w:pPr>
        <w:jc w:val="center"/>
        <w:rPr>
          <w:sz w:val="20"/>
          <w:szCs w:val="20"/>
        </w:rPr>
      </w:pPr>
      <w:r>
        <w:rPr>
          <w:i/>
          <w:sz w:val="20"/>
          <w:szCs w:val="20"/>
        </w:rPr>
        <w:t xml:space="preserve">  [remainder of this page intentionally left blank]</w:t>
      </w:r>
    </w:p>
    <w:p w14:paraId="7F6C6173" w14:textId="77777777" w:rsidR="00B63F33" w:rsidRDefault="00B63F33">
      <w:pPr>
        <w:pStyle w:val="BodyText"/>
        <w:ind w:firstLine="720"/>
      </w:pPr>
      <w:r>
        <w:br w:type="page"/>
      </w:r>
      <w:r>
        <w:lastRenderedPageBreak/>
        <w:t>IN WITNESS WHEREOF, the Parties have executed this PPA as of the date first set forth above.</w:t>
      </w:r>
    </w:p>
    <w:p w14:paraId="7BE37AC6" w14:textId="77777777" w:rsidR="00B63F33" w:rsidRDefault="00B63F33">
      <w:pPr>
        <w:pStyle w:val="BodyText"/>
        <w:spacing w:after="0"/>
      </w:pPr>
    </w:p>
    <w:p w14:paraId="60EA03D3" w14:textId="77777777" w:rsidR="00B63F33" w:rsidRDefault="00B63F33">
      <w:pPr>
        <w:pStyle w:val="BodyText"/>
        <w:spacing w:after="120"/>
        <w:ind w:left="3240"/>
        <w:rPr>
          <w:i/>
        </w:rPr>
      </w:pPr>
      <w:r>
        <w:rPr>
          <w:i/>
        </w:rPr>
        <w:t>Seller:</w:t>
      </w:r>
    </w:p>
    <w:p w14:paraId="0CA1A646" w14:textId="77777777" w:rsidR="00B63F33" w:rsidRDefault="00B63F33">
      <w:pPr>
        <w:pStyle w:val="BodyText"/>
        <w:spacing w:after="360"/>
        <w:ind w:left="3600"/>
        <w:rPr>
          <w:b/>
        </w:rPr>
      </w:pPr>
      <w:r>
        <w:rPr>
          <w:b/>
        </w:rPr>
        <w:t>____________________________ [</w:t>
      </w:r>
      <w:r>
        <w:rPr>
          <w:b/>
          <w:highlight w:val="yellow"/>
        </w:rPr>
        <w:t>LLC</w:t>
      </w:r>
      <w:r>
        <w:rPr>
          <w:b/>
        </w:rPr>
        <w:t>]</w:t>
      </w:r>
    </w:p>
    <w:p w14:paraId="30747F22" w14:textId="77777777" w:rsidR="00B63F33" w:rsidRDefault="00B63F33">
      <w:pPr>
        <w:pStyle w:val="BodyText"/>
        <w:spacing w:after="0"/>
        <w:ind w:left="3600"/>
      </w:pPr>
      <w:r>
        <w:t>By:  _______________________</w:t>
      </w:r>
    </w:p>
    <w:p w14:paraId="003DFB92" w14:textId="77777777" w:rsidR="00B63F33" w:rsidRDefault="00B63F33">
      <w:pPr>
        <w:pStyle w:val="BodyText"/>
        <w:ind w:left="3600"/>
      </w:pPr>
      <w:r>
        <w:tab/>
        <w:t>[name and title]</w:t>
      </w:r>
    </w:p>
    <w:p w14:paraId="64E8B6B3" w14:textId="77777777" w:rsidR="00B63F33" w:rsidRDefault="00B63F33">
      <w:pPr>
        <w:pStyle w:val="BodyText"/>
        <w:ind w:left="3240"/>
      </w:pPr>
    </w:p>
    <w:p w14:paraId="4EB5E6BE" w14:textId="77777777" w:rsidR="00B63F33" w:rsidRDefault="00B63F33">
      <w:pPr>
        <w:pStyle w:val="BodyText"/>
        <w:spacing w:after="120"/>
        <w:ind w:left="3240"/>
        <w:rPr>
          <w:i/>
        </w:rPr>
      </w:pPr>
      <w:r>
        <w:rPr>
          <w:i/>
        </w:rPr>
        <w:t>Company:</w:t>
      </w:r>
    </w:p>
    <w:p w14:paraId="39A021F2" w14:textId="728F7B1D" w:rsidR="00DB646C" w:rsidRPr="00922467" w:rsidRDefault="00332EE0" w:rsidP="00691098">
      <w:pPr>
        <w:pStyle w:val="BodyText"/>
        <w:ind w:left="3600"/>
        <w:rPr>
          <w:b/>
        </w:rPr>
      </w:pPr>
      <w:r w:rsidRPr="00922467">
        <w:rPr>
          <w:b/>
          <w:lang w:val="en-US"/>
        </w:rPr>
        <w:t xml:space="preserve">Xcel Energy Services, Inc., authorized signatory for </w:t>
      </w:r>
      <w:bookmarkStart w:id="700" w:name="_Hlk150953911"/>
      <w:r w:rsidR="00732A95">
        <w:rPr>
          <w:b/>
          <w:lang w:val="en-US"/>
        </w:rPr>
        <w:t>Northern States Power Company</w:t>
      </w:r>
      <w:r w:rsidRPr="00922467">
        <w:rPr>
          <w:b/>
          <w:lang w:val="en-US"/>
        </w:rPr>
        <w:t>, a [</w:t>
      </w:r>
      <w:r w:rsidR="00732A95" w:rsidRPr="00F260E6">
        <w:rPr>
          <w:b/>
          <w:highlight w:val="yellow"/>
          <w:lang w:val="en-US"/>
        </w:rPr>
        <w:t>Minnesota or Wisconsin</w:t>
      </w:r>
      <w:r w:rsidRPr="00922467">
        <w:rPr>
          <w:b/>
          <w:lang w:val="en-US"/>
        </w:rPr>
        <w:t>] corporation</w:t>
      </w:r>
      <w:bookmarkEnd w:id="700"/>
    </w:p>
    <w:p w14:paraId="4B7281AD" w14:textId="77777777" w:rsidR="00B63F33" w:rsidRDefault="00B63F33">
      <w:pPr>
        <w:pStyle w:val="BodyText"/>
        <w:spacing w:after="0"/>
        <w:ind w:left="3600"/>
      </w:pPr>
      <w:r>
        <w:t>By:  _________________________________</w:t>
      </w:r>
    </w:p>
    <w:p w14:paraId="3D135C23" w14:textId="57792E27" w:rsidR="00B63F33" w:rsidRDefault="00B63F33">
      <w:pPr>
        <w:ind w:left="4140" w:right="360"/>
      </w:pPr>
      <w:r>
        <w:t>[_</w:t>
      </w:r>
      <w:r w:rsidR="00F260E6">
        <w:t xml:space="preserve">name and title </w:t>
      </w:r>
      <w:r>
        <w:t>]</w:t>
      </w:r>
    </w:p>
    <w:p w14:paraId="2AC28C93" w14:textId="77777777" w:rsidR="00B63F33" w:rsidRDefault="00B63F33">
      <w:pPr>
        <w:ind w:firstLine="4140"/>
        <w:sectPr w:rsidR="00B63F33">
          <w:headerReference w:type="even" r:id="rId25"/>
          <w:headerReference w:type="default" r:id="rId26"/>
          <w:footerReference w:type="even" r:id="rId27"/>
          <w:footerReference w:type="default" r:id="rId28"/>
          <w:headerReference w:type="first" r:id="rId29"/>
          <w:footerReference w:type="first" r:id="rId30"/>
          <w:pgSz w:w="12240" w:h="15840" w:code="1"/>
          <w:pgMar w:top="1440" w:right="1440" w:bottom="1440" w:left="1440" w:header="720" w:footer="720" w:gutter="0"/>
          <w:pgNumType w:start="1"/>
          <w:cols w:space="720"/>
        </w:sectPr>
      </w:pPr>
    </w:p>
    <w:p w14:paraId="4B3E30F7" w14:textId="306DB2FE" w:rsidR="00B63F33" w:rsidRDefault="004666F5" w:rsidP="005357FF">
      <w:pPr>
        <w:pStyle w:val="ExhibitTitle"/>
        <w:rPr>
          <w:rFonts w:cs="Arial"/>
        </w:rPr>
      </w:pPr>
      <w:bookmarkStart w:id="701" w:name="_Toc149813151"/>
      <w:bookmarkStart w:id="702" w:name="_Ref149813572"/>
      <w:bookmarkStart w:id="703" w:name="_Toc150954968"/>
      <w:r>
        <w:lastRenderedPageBreak/>
        <w:t xml:space="preserve">EXHIBIT </w:t>
      </w:r>
      <w:fldSimple w:instr=" SEQ EXHIBIT \* ALPHABETIC ">
        <w:r w:rsidR="00BC3574">
          <w:rPr>
            <w:noProof/>
          </w:rPr>
          <w:t>A</w:t>
        </w:r>
      </w:fldSimple>
      <w:r>
        <w:t xml:space="preserve"> - </w:t>
      </w:r>
      <w:r w:rsidR="00CE16BF">
        <w:t xml:space="preserve"> </w:t>
      </w:r>
      <w:r w:rsidR="00B63F33">
        <w:rPr>
          <w:rFonts w:cs="Arial"/>
        </w:rPr>
        <w:t>DEFINITIONS</w:t>
      </w:r>
      <w:bookmarkEnd w:id="701"/>
      <w:bookmarkEnd w:id="702"/>
      <w:bookmarkEnd w:id="703"/>
    </w:p>
    <w:p w14:paraId="2BE94481" w14:textId="77777777" w:rsidR="00B63F33" w:rsidRDefault="00B63F33">
      <w:pPr>
        <w:pStyle w:val="BodyTextFirstIndent"/>
        <w:ind w:right="0" w:firstLine="180"/>
      </w:pPr>
      <w:r>
        <w:t>The following terms shall have the meanings set forth herein:</w:t>
      </w:r>
    </w:p>
    <w:p w14:paraId="2EF5DB5C" w14:textId="51A468E7" w:rsidR="00B63F33" w:rsidRDefault="00B63F33">
      <w:pPr>
        <w:pStyle w:val="BodyTextFirstIndent"/>
        <w:ind w:right="0"/>
        <w:rPr>
          <w:lang w:val="en-US"/>
        </w:rPr>
      </w:pPr>
      <w:r>
        <w:rPr>
          <w:lang w:val="en-US"/>
        </w:rPr>
        <w:t>“</w:t>
      </w:r>
      <w:r>
        <w:rPr>
          <w:u w:val="single"/>
          <w:lang w:val="en-US"/>
        </w:rPr>
        <w:t>AC</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2842B4">
        <w:rPr>
          <w:u w:val="single"/>
          <w:lang w:val="en-US"/>
        </w:rPr>
        <w:fldChar w:fldCharType="begin"/>
      </w:r>
      <w:r w:rsidR="002842B4">
        <w:rPr>
          <w:u w:val="single"/>
          <w:lang w:val="en-US"/>
        </w:rPr>
        <w:instrText xml:space="preserve"> REF _Ref149809171 \w \h </w:instrText>
      </w:r>
      <w:r w:rsidR="002842B4">
        <w:rPr>
          <w:u w:val="single"/>
          <w:lang w:val="en-US"/>
        </w:rPr>
      </w:r>
      <w:r w:rsidR="002842B4">
        <w:rPr>
          <w:u w:val="single"/>
          <w:lang w:val="en-US"/>
        </w:rPr>
        <w:fldChar w:fldCharType="separate"/>
      </w:r>
      <w:r w:rsidR="002842B4">
        <w:rPr>
          <w:u w:val="single"/>
          <w:lang w:val="en-US"/>
        </w:rPr>
        <w:t>1.1(D)</w:t>
      </w:r>
      <w:r w:rsidR="002842B4">
        <w:rPr>
          <w:u w:val="single"/>
          <w:lang w:val="en-US"/>
        </w:rPr>
        <w:fldChar w:fldCharType="end"/>
      </w:r>
      <w:r>
        <w:rPr>
          <w:lang w:val="en-US"/>
        </w:rPr>
        <w:t>.</w:t>
      </w:r>
    </w:p>
    <w:p w14:paraId="28ED31BD" w14:textId="2B5943E1" w:rsidR="00B63F33" w:rsidRDefault="00B63F33">
      <w:pPr>
        <w:pStyle w:val="BodyTextFirstIndent"/>
        <w:ind w:right="0"/>
      </w:pPr>
      <w:r>
        <w:t>“</w:t>
      </w:r>
      <w:r>
        <w:rPr>
          <w:u w:val="single"/>
        </w:rPr>
        <w:t>Actual Damages</w:t>
      </w:r>
      <w:r>
        <w:t xml:space="preserve">” </w:t>
      </w:r>
      <w:r>
        <w:rPr>
          <w:lang w:val="en-US"/>
        </w:rPr>
        <w:t xml:space="preserve">shall have </w:t>
      </w:r>
      <w:r>
        <w:t xml:space="preserve">the meaning set forth in </w:t>
      </w:r>
      <w:r>
        <w:rPr>
          <w:u w:val="single"/>
        </w:rPr>
        <w:t xml:space="preserve">Section </w:t>
      </w:r>
      <w:r w:rsidR="002842B4">
        <w:rPr>
          <w:u w:val="single"/>
        </w:rPr>
        <w:fldChar w:fldCharType="begin"/>
      </w:r>
      <w:r w:rsidR="002842B4">
        <w:rPr>
          <w:u w:val="single"/>
        </w:rPr>
        <w:instrText xml:space="preserve"> REF _Ref149809188 \w \h </w:instrText>
      </w:r>
      <w:r w:rsidR="002842B4">
        <w:rPr>
          <w:u w:val="single"/>
        </w:rPr>
      </w:r>
      <w:r w:rsidR="002842B4">
        <w:rPr>
          <w:u w:val="single"/>
        </w:rPr>
        <w:fldChar w:fldCharType="separate"/>
      </w:r>
      <w:r w:rsidR="002842B4">
        <w:rPr>
          <w:u w:val="single"/>
        </w:rPr>
        <w:t>12.4(C)</w:t>
      </w:r>
      <w:r w:rsidR="002842B4">
        <w:rPr>
          <w:u w:val="single"/>
        </w:rPr>
        <w:fldChar w:fldCharType="end"/>
      </w:r>
      <w:r>
        <w:t>.</w:t>
      </w:r>
    </w:p>
    <w:p w14:paraId="2E99E6EB" w14:textId="77777777" w:rsidR="00B63F33" w:rsidRDefault="00B63F33">
      <w:pPr>
        <w:pStyle w:val="BodyTextFirstIndent"/>
        <w:ind w:right="0"/>
        <w:rPr>
          <w:rFonts w:cs="Arial"/>
        </w:rPr>
      </w:pPr>
      <w:r>
        <w:t>“</w:t>
      </w:r>
      <w:r>
        <w:rPr>
          <w:u w:val="single"/>
        </w:rPr>
        <w:t>Affiliate</w:t>
      </w:r>
      <w:r>
        <w:t xml:space="preserve">” of any designated </w:t>
      </w:r>
      <w:r>
        <w:rPr>
          <w:lang w:val="en-US"/>
        </w:rPr>
        <w:t>p</w:t>
      </w:r>
      <w:proofErr w:type="spellStart"/>
      <w:r>
        <w:t>erson</w:t>
      </w:r>
      <w:proofErr w:type="spellEnd"/>
      <w:r>
        <w:t xml:space="preserve"> </w:t>
      </w:r>
      <w:r>
        <w:rPr>
          <w:lang w:val="en-US"/>
        </w:rPr>
        <w:t xml:space="preserve">or entity </w:t>
      </w:r>
      <w:r>
        <w:t xml:space="preserve">means any person or entity that directly or indirectly controls, is under the control of, or is under common control with, the designated </w:t>
      </w:r>
      <w:r>
        <w:rPr>
          <w:lang w:val="en-US"/>
        </w:rPr>
        <w:t>p</w:t>
      </w:r>
      <w:proofErr w:type="spellStart"/>
      <w:r>
        <w:t>erson</w:t>
      </w:r>
      <w:proofErr w:type="spellEnd"/>
      <w:r>
        <w:t xml:space="preserve"> </w:t>
      </w:r>
      <w:r>
        <w:rPr>
          <w:lang w:val="en-US"/>
        </w:rPr>
        <w:t xml:space="preserve">or entity </w:t>
      </w:r>
      <w:r>
        <w:t xml:space="preserve">by the power to direct or cause </w:t>
      </w:r>
      <w:r>
        <w:rPr>
          <w:rFonts w:cs="Arial"/>
        </w:rPr>
        <w:t xml:space="preserve">the direction of the management of the policies of designated </w:t>
      </w:r>
      <w:r>
        <w:rPr>
          <w:rFonts w:cs="Arial"/>
          <w:lang w:val="en-US"/>
        </w:rPr>
        <w:t>p</w:t>
      </w:r>
      <w:proofErr w:type="spellStart"/>
      <w:r>
        <w:rPr>
          <w:rFonts w:cs="Arial"/>
        </w:rPr>
        <w:t>erson</w:t>
      </w:r>
      <w:proofErr w:type="spellEnd"/>
      <w:r>
        <w:rPr>
          <w:rFonts w:cs="Arial"/>
          <w:lang w:val="en-US"/>
        </w:rPr>
        <w:t xml:space="preserve"> or entity</w:t>
      </w:r>
      <w:r>
        <w:rPr>
          <w:rFonts w:cs="Arial"/>
        </w:rPr>
        <w:t>, whether through ownership interest, by contract or otherwise.</w:t>
      </w:r>
    </w:p>
    <w:p w14:paraId="613C953E" w14:textId="77777777" w:rsidR="00B63F33" w:rsidRDefault="00B63F33">
      <w:pPr>
        <w:pStyle w:val="BodyTextFirstIndent"/>
        <w:ind w:right="0"/>
        <w:rPr>
          <w:rFonts w:cs="Arial"/>
        </w:rPr>
      </w:pPr>
      <w:r>
        <w:rPr>
          <w:rFonts w:cs="Arial"/>
        </w:rPr>
        <w:t>“</w:t>
      </w:r>
      <w:r>
        <w:rPr>
          <w:rFonts w:cs="Arial"/>
          <w:u w:val="single"/>
        </w:rPr>
        <w:t>AGC</w:t>
      </w:r>
      <w:r>
        <w:rPr>
          <w:rFonts w:cs="Arial"/>
        </w:rPr>
        <w:t>” or “</w:t>
      </w:r>
      <w:r>
        <w:rPr>
          <w:rFonts w:cs="Arial"/>
          <w:u w:val="single"/>
        </w:rPr>
        <w:t>Automatic Generation Control</w:t>
      </w:r>
      <w:r>
        <w:rPr>
          <w:rFonts w:cs="Arial"/>
        </w:rPr>
        <w:t xml:space="preserve">” means the equipment and capability of an electric generation facility automatically to adjust the generation quantity within the applicable Balancing Authority with the purpose of interchange balancing and specifically, the Facility’s capability of accepting an AGC Set-Point electronically, and the automatic adjustment and regulation of the Facility’s </w:t>
      </w:r>
      <w:r>
        <w:rPr>
          <w:rFonts w:cs="Arial"/>
          <w:lang w:val="en-US"/>
        </w:rPr>
        <w:t>Renewable E</w:t>
      </w:r>
      <w:proofErr w:type="spellStart"/>
      <w:r>
        <w:rPr>
          <w:rFonts w:cs="Arial"/>
        </w:rPr>
        <w:t>nergy</w:t>
      </w:r>
      <w:proofErr w:type="spellEnd"/>
      <w:r>
        <w:rPr>
          <w:rFonts w:cs="Arial"/>
        </w:rPr>
        <w:t xml:space="preserve"> production via the SCADA System.   </w:t>
      </w:r>
    </w:p>
    <w:p w14:paraId="6C365D7D" w14:textId="49167160" w:rsidR="00B63F33" w:rsidRDefault="00B63F33">
      <w:pPr>
        <w:pStyle w:val="BodyTextFirstIndent"/>
        <w:ind w:right="0"/>
        <w:rPr>
          <w:rFonts w:cs="Arial"/>
        </w:rPr>
      </w:pPr>
      <w:r>
        <w:rPr>
          <w:rFonts w:cs="Arial"/>
        </w:rPr>
        <w:t>“</w:t>
      </w:r>
      <w:r>
        <w:rPr>
          <w:rFonts w:cs="Arial"/>
          <w:u w:val="single"/>
        </w:rPr>
        <w:t>AGC Protocols</w:t>
      </w:r>
      <w:r>
        <w:rPr>
          <w:rFonts w:cs="Arial"/>
        </w:rPr>
        <w:t xml:space="preserve">” means the protocols for AGC included in </w:t>
      </w:r>
      <w:r w:rsidR="009076E2" w:rsidRPr="009076E2">
        <w:rPr>
          <w:u w:val="single"/>
        </w:rPr>
        <w:t>Exhibit I - A</w:t>
      </w:r>
      <w:r w:rsidR="009076E2">
        <w:rPr>
          <w:u w:val="single"/>
        </w:rPr>
        <w:t>GC</w:t>
      </w:r>
      <w:r w:rsidR="009076E2" w:rsidRPr="009076E2">
        <w:rPr>
          <w:u w:val="single"/>
        </w:rPr>
        <w:t xml:space="preserve"> Protocols; Data Collection; Availability Reporting</w:t>
      </w:r>
      <w:r>
        <w:rPr>
          <w:rFonts w:cs="Arial"/>
        </w:rPr>
        <w:t xml:space="preserve">, as such protocols may be modified from time to time in accordance with </w:t>
      </w:r>
      <w:r>
        <w:rPr>
          <w:rFonts w:cs="Arial"/>
          <w:u w:val="single"/>
        </w:rPr>
        <w:t xml:space="preserve">Section </w:t>
      </w:r>
      <w:r w:rsidR="002842B4">
        <w:rPr>
          <w:rFonts w:cs="Arial"/>
          <w:u w:val="single"/>
        </w:rPr>
        <w:fldChar w:fldCharType="begin"/>
      </w:r>
      <w:r w:rsidR="002842B4">
        <w:rPr>
          <w:rFonts w:cs="Arial"/>
          <w:u w:val="single"/>
        </w:rPr>
        <w:instrText xml:space="preserve"> REF _Ref149809201 \w \h </w:instrText>
      </w:r>
      <w:r w:rsidR="002842B4">
        <w:rPr>
          <w:rFonts w:cs="Arial"/>
          <w:u w:val="single"/>
        </w:rPr>
      </w:r>
      <w:r w:rsidR="002842B4">
        <w:rPr>
          <w:rFonts w:cs="Arial"/>
          <w:u w:val="single"/>
        </w:rPr>
        <w:fldChar w:fldCharType="separate"/>
      </w:r>
      <w:r w:rsidR="002842B4">
        <w:rPr>
          <w:rFonts w:cs="Arial"/>
          <w:u w:val="single"/>
        </w:rPr>
        <w:t>10.7</w:t>
      </w:r>
      <w:r w:rsidR="002842B4">
        <w:rPr>
          <w:rFonts w:cs="Arial"/>
          <w:u w:val="single"/>
        </w:rPr>
        <w:fldChar w:fldCharType="end"/>
      </w:r>
      <w:r>
        <w:rPr>
          <w:rFonts w:cs="Arial"/>
        </w:rPr>
        <w:t>.</w:t>
      </w:r>
    </w:p>
    <w:p w14:paraId="7CAD68D0" w14:textId="77777777" w:rsidR="00B63F33" w:rsidRDefault="00B63F33">
      <w:pPr>
        <w:pStyle w:val="BodyTextFirstIndent"/>
        <w:ind w:right="0"/>
        <w:rPr>
          <w:rFonts w:cs="Arial"/>
        </w:rPr>
      </w:pPr>
      <w:r>
        <w:rPr>
          <w:rFonts w:cs="Arial"/>
        </w:rPr>
        <w:t>“</w:t>
      </w:r>
      <w:r>
        <w:rPr>
          <w:rFonts w:cs="Arial"/>
          <w:u w:val="single"/>
        </w:rPr>
        <w:t>AGC Remote/Local</w:t>
      </w:r>
      <w:r>
        <w:rPr>
          <w:rFonts w:cs="Arial"/>
        </w:rPr>
        <w:t>” means a handshake electronic signal sent from the Facility to the EMCC AGC system, and from the EMCC AGC system to the Facility, indicating the Facility is receiving AGC Set-Point locally (from the Facility) or remotely (EMCC AGC system) and is following that AGC Set-Point.</w:t>
      </w:r>
    </w:p>
    <w:p w14:paraId="239ADCB0" w14:textId="77777777" w:rsidR="00B63F33" w:rsidRDefault="00B63F33">
      <w:pPr>
        <w:pStyle w:val="BodyTextFirstIndent"/>
        <w:ind w:right="0"/>
      </w:pPr>
      <w:r>
        <w:rPr>
          <w:rFonts w:cs="Arial"/>
        </w:rPr>
        <w:t>“</w:t>
      </w:r>
      <w:r>
        <w:rPr>
          <w:rFonts w:cs="Arial"/>
          <w:u w:val="single"/>
        </w:rPr>
        <w:t>AGC Set-Point</w:t>
      </w:r>
      <w:r>
        <w:rPr>
          <w:rFonts w:cs="Arial"/>
        </w:rPr>
        <w:t xml:space="preserve">” means the Company-generated analog or digital signal sent by the SCADA System to the Facility, representing the </w:t>
      </w:r>
      <w:r>
        <w:rPr>
          <w:rFonts w:cs="Arial"/>
          <w:lang w:val="en-US"/>
        </w:rPr>
        <w:t>quantity of</w:t>
      </w:r>
      <w:r>
        <w:rPr>
          <w:rFonts w:cs="Arial"/>
        </w:rPr>
        <w:t xml:space="preserve"> Renewable Energy to be generated by the Facility.  </w:t>
      </w:r>
      <w:r>
        <w:t>The AGC Set-Point is calculated by the EMCC AGC system and communicated electronically to the Facility via the SCADA System.</w:t>
      </w:r>
    </w:p>
    <w:p w14:paraId="43603DD1" w14:textId="2FA2D376" w:rsidR="009630A0" w:rsidRPr="00957850" w:rsidRDefault="009630A0">
      <w:pPr>
        <w:pStyle w:val="BodyTextFirstIndent"/>
        <w:ind w:right="0"/>
        <w:rPr>
          <w:color w:val="000000" w:themeColor="text1"/>
          <w:lang w:val="en-US"/>
        </w:rPr>
      </w:pPr>
      <w:bookmarkStart w:id="704" w:name="_cp_change_186"/>
      <w:r w:rsidRPr="00957850">
        <w:rPr>
          <w:color w:val="000000" w:themeColor="text1"/>
          <w:lang w:val="en-US"/>
        </w:rPr>
        <w:t>“</w:t>
      </w:r>
      <w:r w:rsidRPr="00F260E6">
        <w:rPr>
          <w:color w:val="000000" w:themeColor="text1"/>
          <w:u w:val="single"/>
          <w:lang w:val="en-US"/>
        </w:rPr>
        <w:t>Ancillary Services</w:t>
      </w:r>
      <w:r w:rsidRPr="00957850">
        <w:rPr>
          <w:color w:val="000000" w:themeColor="text1"/>
          <w:lang w:val="en-US"/>
        </w:rPr>
        <w:t xml:space="preserve">” shall have the meaning </w:t>
      </w:r>
      <w:proofErr w:type="gramStart"/>
      <w:r w:rsidRPr="00957850">
        <w:rPr>
          <w:color w:val="000000" w:themeColor="text1"/>
          <w:lang w:val="en-US"/>
        </w:rPr>
        <w:t>set forth in</w:t>
      </w:r>
      <w:proofErr w:type="gramEnd"/>
      <w:r w:rsidRPr="00957850">
        <w:rPr>
          <w:color w:val="000000" w:themeColor="text1"/>
          <w:lang w:val="en-US"/>
        </w:rPr>
        <w:t xml:space="preserve"> </w:t>
      </w:r>
      <w:r w:rsidRPr="005357FF">
        <w:rPr>
          <w:color w:val="000000" w:themeColor="text1"/>
          <w:u w:val="single"/>
          <w:lang w:val="en-US"/>
        </w:rPr>
        <w:t xml:space="preserve">Section </w:t>
      </w:r>
      <w:r w:rsidR="002842B4" w:rsidRPr="005357FF">
        <w:rPr>
          <w:color w:val="000000" w:themeColor="text1"/>
          <w:u w:val="single"/>
          <w:lang w:val="en-US"/>
        </w:rPr>
        <w:fldChar w:fldCharType="begin"/>
      </w:r>
      <w:r w:rsidR="002842B4" w:rsidRPr="005357FF">
        <w:rPr>
          <w:color w:val="000000" w:themeColor="text1"/>
          <w:u w:val="single"/>
          <w:lang w:val="en-US"/>
        </w:rPr>
        <w:instrText xml:space="preserve"> REF _Ref149809228 \w \h </w:instrText>
      </w:r>
      <w:r w:rsidR="002842B4">
        <w:rPr>
          <w:color w:val="000000" w:themeColor="text1"/>
          <w:u w:val="single"/>
          <w:lang w:val="en-US"/>
        </w:rPr>
        <w:instrText xml:space="preserve"> \* MERGEFORMAT </w:instrText>
      </w:r>
      <w:r w:rsidR="002842B4" w:rsidRPr="005357FF">
        <w:rPr>
          <w:color w:val="000000" w:themeColor="text1"/>
          <w:u w:val="single"/>
          <w:lang w:val="en-US"/>
        </w:rPr>
      </w:r>
      <w:r w:rsidR="002842B4" w:rsidRPr="005357FF">
        <w:rPr>
          <w:color w:val="000000" w:themeColor="text1"/>
          <w:u w:val="single"/>
          <w:lang w:val="en-US"/>
        </w:rPr>
        <w:fldChar w:fldCharType="separate"/>
      </w:r>
      <w:r w:rsidR="002842B4" w:rsidRPr="005357FF">
        <w:rPr>
          <w:color w:val="000000" w:themeColor="text1"/>
          <w:u w:val="single"/>
          <w:lang w:val="en-US"/>
        </w:rPr>
        <w:t>7.4(C)</w:t>
      </w:r>
      <w:r w:rsidR="002842B4" w:rsidRPr="005357FF">
        <w:rPr>
          <w:color w:val="000000" w:themeColor="text1"/>
          <w:u w:val="single"/>
          <w:lang w:val="en-US"/>
        </w:rPr>
        <w:fldChar w:fldCharType="end"/>
      </w:r>
      <w:r w:rsidRPr="00957850">
        <w:rPr>
          <w:color w:val="000000" w:themeColor="text1"/>
          <w:lang w:val="en-US"/>
        </w:rPr>
        <w:t xml:space="preserve">. </w:t>
      </w:r>
      <w:bookmarkStart w:id="705" w:name="_cp_change_185"/>
      <w:bookmarkEnd w:id="704"/>
    </w:p>
    <w:bookmarkEnd w:id="705"/>
    <w:p w14:paraId="07111FC9" w14:textId="26A17032" w:rsidR="00B63F33" w:rsidRDefault="00B63F33">
      <w:pPr>
        <w:pStyle w:val="BodyTextFirstIndent"/>
        <w:ind w:right="0"/>
        <w:rPr>
          <w:rFonts w:cs="Arial"/>
        </w:rPr>
      </w:pPr>
      <w:r>
        <w:rPr>
          <w:rFonts w:cs="Arial"/>
        </w:rPr>
        <w:t>“</w:t>
      </w:r>
      <w:r>
        <w:rPr>
          <w:rFonts w:cs="Arial"/>
          <w:u w:val="single"/>
        </w:rPr>
        <w:t>Applicable Law</w:t>
      </w:r>
      <w:r>
        <w:rPr>
          <w:rFonts w:cs="Arial"/>
          <w:u w:val="single"/>
          <w:lang w:val="en-US"/>
        </w:rPr>
        <w:t>(s)</w:t>
      </w:r>
      <w:r>
        <w:rPr>
          <w:rFonts w:cs="Arial"/>
        </w:rPr>
        <w:t xml:space="preserve">” means all laws, statutes, treaties, codes, ordinances, regulations, </w:t>
      </w:r>
      <w:r>
        <w:rPr>
          <w:rFonts w:cs="Arial"/>
          <w:lang w:val="en-US"/>
        </w:rPr>
        <w:t>standards</w:t>
      </w:r>
      <w:r>
        <w:rPr>
          <w:lang w:val="en-US"/>
        </w:rPr>
        <w:t xml:space="preserve">, </w:t>
      </w:r>
      <w:r>
        <w:rPr>
          <w:rFonts w:cs="Arial"/>
        </w:rPr>
        <w:t>certificates, orders, licenses and permits of any Governmental Authority that are applicable to a Party, the business of a Party or the Facility, now in effect or hereafter enacted, including amendments to or interpretations of any of the foregoing by a Governmental Authority having jurisdiction, and all applicable judicial, administrative, arbitration and regulatory decrees, judgments, injunctions, writs, orders, awards and/or like actions</w:t>
      </w:r>
      <w:r>
        <w:rPr>
          <w:rFonts w:cs="Arial"/>
          <w:lang w:val="en-US"/>
        </w:rPr>
        <w:t>, including, for the avoidance of doubt, electrical, building, fire, zoning, environmental, and occupational health and safety requirements</w:t>
      </w:r>
      <w:r>
        <w:rPr>
          <w:rFonts w:cs="Arial"/>
        </w:rPr>
        <w:t>.</w:t>
      </w:r>
    </w:p>
    <w:p w14:paraId="36FD1F50" w14:textId="77777777" w:rsidR="00B63F33" w:rsidRDefault="00B63F33">
      <w:pPr>
        <w:pStyle w:val="BodyTextFirstIndent"/>
        <w:ind w:right="0"/>
        <w:rPr>
          <w:rFonts w:cs="Arial"/>
        </w:rPr>
      </w:pPr>
      <w:r>
        <w:rPr>
          <w:rFonts w:cs="Arial"/>
        </w:rPr>
        <w:t>“</w:t>
      </w:r>
      <w:r>
        <w:rPr>
          <w:rFonts w:cs="Arial"/>
          <w:u w:val="single"/>
        </w:rPr>
        <w:t>Arbitration Service</w:t>
      </w:r>
      <w:r>
        <w:rPr>
          <w:rFonts w:cs="Arial"/>
        </w:rPr>
        <w:t>” means</w:t>
      </w:r>
      <w:r>
        <w:rPr>
          <w:rFonts w:cs="Arial"/>
          <w:lang w:val="en-US"/>
        </w:rPr>
        <w:t xml:space="preserve"> </w:t>
      </w:r>
      <w:r>
        <w:rPr>
          <w:rFonts w:cs="Arial"/>
        </w:rPr>
        <w:t>Judicial Arbitration and Mediation Services, Inc.</w:t>
      </w:r>
      <w:r>
        <w:rPr>
          <w:rFonts w:cs="Arial"/>
          <w:lang w:val="en-US"/>
        </w:rPr>
        <w:t xml:space="preserve"> (</w:t>
      </w:r>
      <w:proofErr w:type="gramStart"/>
      <w:r>
        <w:rPr>
          <w:rFonts w:cs="Arial"/>
          <w:lang w:val="en-US"/>
        </w:rPr>
        <w:t>aka</w:t>
      </w:r>
      <w:proofErr w:type="gramEnd"/>
      <w:r>
        <w:rPr>
          <w:rFonts w:cs="Arial"/>
          <w:lang w:val="en-US"/>
        </w:rPr>
        <w:t xml:space="preserve"> JAMS).</w:t>
      </w:r>
    </w:p>
    <w:p w14:paraId="27A709DE" w14:textId="53F47692" w:rsidR="00B63F33" w:rsidRDefault="00B63F33">
      <w:pPr>
        <w:pStyle w:val="BodyTextFirstIndent"/>
        <w:ind w:right="0"/>
        <w:rPr>
          <w:rFonts w:cs="Arial"/>
        </w:rPr>
      </w:pPr>
      <w:r>
        <w:rPr>
          <w:rFonts w:cs="Arial"/>
        </w:rPr>
        <w:lastRenderedPageBreak/>
        <w:t>“</w:t>
      </w:r>
      <w:r>
        <w:rPr>
          <w:rFonts w:cs="Arial"/>
          <w:u w:val="single"/>
        </w:rPr>
        <w:t>Back-Up Metering</w:t>
      </w:r>
      <w:r>
        <w:rPr>
          <w:rFonts w:cs="Arial"/>
        </w:rPr>
        <w:t xml:space="preserve">” shall have the meaning set forth in </w:t>
      </w:r>
      <w:r>
        <w:rPr>
          <w:rFonts w:cs="Arial"/>
          <w:u w:val="single"/>
        </w:rPr>
        <w:t xml:space="preserve">Section </w:t>
      </w:r>
      <w:r w:rsidR="002842B4">
        <w:rPr>
          <w:rFonts w:cs="Arial"/>
          <w:u w:val="single"/>
        </w:rPr>
        <w:fldChar w:fldCharType="begin"/>
      </w:r>
      <w:r w:rsidR="002842B4">
        <w:rPr>
          <w:rFonts w:cs="Arial"/>
          <w:u w:val="single"/>
        </w:rPr>
        <w:instrText xml:space="preserve"> REF _Ref149809248 \w \h </w:instrText>
      </w:r>
      <w:r w:rsidR="002842B4">
        <w:rPr>
          <w:rFonts w:cs="Arial"/>
          <w:u w:val="single"/>
        </w:rPr>
      </w:r>
      <w:r w:rsidR="002842B4">
        <w:rPr>
          <w:rFonts w:cs="Arial"/>
          <w:u w:val="single"/>
        </w:rPr>
        <w:fldChar w:fldCharType="separate"/>
      </w:r>
      <w:r w:rsidR="002842B4">
        <w:rPr>
          <w:rFonts w:cs="Arial"/>
          <w:u w:val="single"/>
        </w:rPr>
        <w:t>5.3(B)</w:t>
      </w:r>
      <w:r w:rsidR="002842B4">
        <w:rPr>
          <w:rFonts w:cs="Arial"/>
          <w:u w:val="single"/>
        </w:rPr>
        <w:fldChar w:fldCharType="end"/>
      </w:r>
      <w:r>
        <w:rPr>
          <w:rFonts w:cs="Arial"/>
        </w:rPr>
        <w:t>.</w:t>
      </w:r>
    </w:p>
    <w:p w14:paraId="4E326044" w14:textId="77777777" w:rsidR="00B63F33" w:rsidRDefault="00B63F33">
      <w:pPr>
        <w:pStyle w:val="BodyTextFirstIndent"/>
        <w:ind w:right="0"/>
      </w:pPr>
      <w:r>
        <w:t>“</w:t>
      </w:r>
      <w:r>
        <w:rPr>
          <w:u w:val="single"/>
        </w:rPr>
        <w:t>Balancing Authority</w:t>
      </w:r>
      <w:r>
        <w:t>” means the system of electrical generation, distribution and transmission facilities within which generation is regulated in order to maintain interchange schedules with other such systems.</w:t>
      </w:r>
    </w:p>
    <w:p w14:paraId="7DA3E9A4" w14:textId="77777777" w:rsidR="00B63F33" w:rsidRDefault="00B63F33">
      <w:pPr>
        <w:pStyle w:val="BodyTextFirstIndent"/>
        <w:ind w:right="0"/>
      </w:pPr>
      <w:r>
        <w:rPr>
          <w:rFonts w:cs="Arial"/>
        </w:rPr>
        <w:t>“</w:t>
      </w:r>
      <w:r>
        <w:rPr>
          <w:rFonts w:cs="Arial"/>
          <w:u w:val="single"/>
        </w:rPr>
        <w:t>Business Day</w:t>
      </w:r>
      <w:r>
        <w:t>” means any Day that is not a Saturday, a Sunday, or a NERC recognized holiday.</w:t>
      </w:r>
    </w:p>
    <w:p w14:paraId="144729B9" w14:textId="4F02F666" w:rsidR="00B63F33" w:rsidRDefault="00B63F33">
      <w:pPr>
        <w:pStyle w:val="BodyTextFirstIndent"/>
        <w:spacing w:after="160"/>
        <w:ind w:right="0"/>
      </w:pPr>
      <w:r>
        <w:t>“</w:t>
      </w:r>
      <w:r>
        <w:rPr>
          <w:u w:val="single"/>
        </w:rPr>
        <w:t>Change of Control</w:t>
      </w:r>
      <w:r>
        <w:t xml:space="preserve">” means the occurrence of any one of the following events with respect to Seller or any direct or indirect owner of a majority of the ownership interests in Seller: (a) a transfer of a majority of the ownership interests in Seller or such owner; (b) any consolidation or merger of Seller or such owner in which Seller or such owner, as the case may be, is not the continuing or surviving entity; or (c) a sale or conveyance of any direct or indirect ownership interest in Seller following which </w:t>
      </w:r>
      <w:r>
        <w:rPr>
          <w:lang w:val="en-US"/>
        </w:rPr>
        <w:t>[</w:t>
      </w:r>
      <w:r>
        <w:rPr>
          <w:highlight w:val="yellow"/>
          <w:lang w:val="en-US"/>
        </w:rPr>
        <w:t>_           __                  _]</w:t>
      </w:r>
      <w:r>
        <w:rPr>
          <w:lang w:val="en-US"/>
        </w:rPr>
        <w:t xml:space="preserve"> (“</w:t>
      </w:r>
      <w:r>
        <w:rPr>
          <w:u w:val="single"/>
          <w:lang w:val="en-US"/>
        </w:rPr>
        <w:t>Ultimate Parent</w:t>
      </w:r>
      <w:r>
        <w:rPr>
          <w:lang w:val="en-US"/>
        </w:rPr>
        <w:t xml:space="preserve">”) is </w:t>
      </w:r>
      <w:r>
        <w:t xml:space="preserve">no longer the direct or indirect owner of at least 50% of the ownership interests of Seller, </w:t>
      </w:r>
      <w:r>
        <w:rPr>
          <w:i/>
        </w:rPr>
        <w:t>provided, however</w:t>
      </w:r>
      <w:r>
        <w:t xml:space="preserve">, that a Change of Control shall </w:t>
      </w:r>
      <w:r>
        <w:rPr>
          <w:u w:val="single"/>
        </w:rPr>
        <w:t>not</w:t>
      </w:r>
      <w:r>
        <w:t xml:space="preserve"> be deemed to have occurred as a result of </w:t>
      </w:r>
    </w:p>
    <w:p w14:paraId="09185C7A" w14:textId="77777777" w:rsidR="00B63F33" w:rsidRDefault="00B63F33" w:rsidP="007C5A7E">
      <w:pPr>
        <w:pStyle w:val="BodyTextFirstIndent"/>
        <w:numPr>
          <w:ilvl w:val="0"/>
          <w:numId w:val="33"/>
        </w:numPr>
        <w:spacing w:after="160"/>
        <w:ind w:right="0"/>
      </w:pPr>
      <w:r>
        <w:t xml:space="preserve">transactions exclusively among Affiliates of Seller, </w:t>
      </w:r>
    </w:p>
    <w:p w14:paraId="06A065A1" w14:textId="77777777" w:rsidR="00B63F33" w:rsidRDefault="00B63F33" w:rsidP="007C5A7E">
      <w:pPr>
        <w:pStyle w:val="BodyTextFirstIndent"/>
        <w:numPr>
          <w:ilvl w:val="0"/>
          <w:numId w:val="33"/>
        </w:numPr>
        <w:spacing w:after="160"/>
        <w:ind w:right="0"/>
      </w:pPr>
      <w:r>
        <w:t xml:space="preserve">any exercise by the Facility Lender of its rights and remedies under the Financing Documents, </w:t>
      </w:r>
      <w:r>
        <w:rPr>
          <w:lang w:val="en-US"/>
        </w:rPr>
        <w:t xml:space="preserve">with respect to any Facility Debt secured only be the Facility, </w:t>
      </w:r>
    </w:p>
    <w:p w14:paraId="52677288" w14:textId="77777777" w:rsidR="00B63F33" w:rsidRDefault="00B63F33" w:rsidP="007C5A7E">
      <w:pPr>
        <w:pStyle w:val="BodyTextFirstIndent"/>
        <w:numPr>
          <w:ilvl w:val="0"/>
          <w:numId w:val="33"/>
        </w:numPr>
        <w:spacing w:after="160"/>
        <w:ind w:right="0"/>
      </w:pPr>
      <w:r>
        <w:t>a change of control of Ultimate Parent, or</w:t>
      </w:r>
    </w:p>
    <w:p w14:paraId="65A1A937" w14:textId="77777777" w:rsidR="00B63F33" w:rsidRDefault="00B63F33" w:rsidP="007C5A7E">
      <w:pPr>
        <w:pStyle w:val="BodyTextFirstIndent"/>
        <w:numPr>
          <w:ilvl w:val="0"/>
          <w:numId w:val="33"/>
        </w:numPr>
        <w:ind w:right="0"/>
      </w:pPr>
      <w:bookmarkStart w:id="706" w:name="_Hlk46916041"/>
      <w:r>
        <w:t xml:space="preserve">any change of economic and/or voting rights triggered in Seller’s organizational documents arising from </w:t>
      </w:r>
      <w:r>
        <w:rPr>
          <w:lang w:val="en-US"/>
        </w:rPr>
        <w:t>(a) a tax-equity</w:t>
      </w:r>
      <w:r>
        <w:t xml:space="preserve"> financing of the Facility</w:t>
      </w:r>
      <w:r>
        <w:rPr>
          <w:lang w:val="en-US"/>
        </w:rPr>
        <w:t>, or (b) a transaction in which interests in Seller or any direct or indirect owner are sold to or by a tax equity investor</w:t>
      </w:r>
      <w:bookmarkEnd w:id="706"/>
      <w:r>
        <w:t>.</w:t>
      </w:r>
    </w:p>
    <w:p w14:paraId="05E58CB5" w14:textId="11FD58CE" w:rsidR="00B63F33" w:rsidRDefault="00B63F33">
      <w:pPr>
        <w:pStyle w:val="BodyTextFirstIndent"/>
        <w:ind w:right="0"/>
      </w:pPr>
      <w:r>
        <w:t>“</w:t>
      </w:r>
      <w:r>
        <w:rPr>
          <w:u w:val="single"/>
        </w:rPr>
        <w:t>COD Conditions</w:t>
      </w:r>
      <w:r>
        <w:t xml:space="preserve">” means all of the requirements that must be satisfied by Seller as a prerequisite to achieving Commercial Operation.  The COD Conditions are set forth in </w:t>
      </w:r>
      <w:r>
        <w:rPr>
          <w:u w:val="single"/>
        </w:rPr>
        <w:t xml:space="preserve">Section </w:t>
      </w:r>
      <w:r w:rsidR="002842B4">
        <w:rPr>
          <w:u w:val="single"/>
        </w:rPr>
        <w:fldChar w:fldCharType="begin"/>
      </w:r>
      <w:r w:rsidR="002842B4">
        <w:rPr>
          <w:u w:val="single"/>
        </w:rPr>
        <w:instrText xml:space="preserve"> REF _Ref149809282 \w \h </w:instrText>
      </w:r>
      <w:r w:rsidR="002842B4">
        <w:rPr>
          <w:u w:val="single"/>
        </w:rPr>
      </w:r>
      <w:r w:rsidR="002842B4">
        <w:rPr>
          <w:u w:val="single"/>
        </w:rPr>
        <w:fldChar w:fldCharType="separate"/>
      </w:r>
      <w:r w:rsidR="002842B4">
        <w:rPr>
          <w:u w:val="single"/>
        </w:rPr>
        <w:t>4.5(C)2</w:t>
      </w:r>
      <w:r w:rsidR="002842B4">
        <w:rPr>
          <w:u w:val="single"/>
        </w:rPr>
        <w:fldChar w:fldCharType="end"/>
      </w:r>
      <w:r>
        <w:t>.</w:t>
      </w:r>
    </w:p>
    <w:p w14:paraId="5253BA8B" w14:textId="37DE76B8" w:rsidR="00B63F33" w:rsidRDefault="00B63F33">
      <w:pPr>
        <w:pStyle w:val="BodyTextFirstIndent"/>
        <w:ind w:right="0"/>
        <w:rPr>
          <w:lang w:val="en-US"/>
        </w:rPr>
      </w:pPr>
      <w:r>
        <w:rPr>
          <w:lang w:val="en-US"/>
        </w:rPr>
        <w:t>“</w:t>
      </w:r>
      <w:r>
        <w:rPr>
          <w:u w:val="single"/>
          <w:lang w:val="en-US"/>
        </w:rPr>
        <w:t>COD Delay</w:t>
      </w:r>
      <w:r>
        <w:rPr>
          <w:lang w:val="en-US"/>
        </w:rPr>
        <w:t xml:space="preserve">” </w:t>
      </w:r>
      <w:r>
        <w:t xml:space="preserve">shall have the meaning </w:t>
      </w:r>
      <w:proofErr w:type="gramStart"/>
      <w:r>
        <w:t>set forth in</w:t>
      </w:r>
      <w:proofErr w:type="gramEnd"/>
      <w:r>
        <w:t xml:space="preserve"> </w:t>
      </w:r>
      <w:r>
        <w:rPr>
          <w:u w:val="single"/>
        </w:rPr>
        <w:t xml:space="preserve">Section </w:t>
      </w:r>
      <w:r w:rsidR="002842B4">
        <w:rPr>
          <w:u w:val="single"/>
        </w:rPr>
        <w:fldChar w:fldCharType="begin"/>
      </w:r>
      <w:r w:rsidR="002842B4">
        <w:rPr>
          <w:u w:val="single"/>
        </w:rPr>
        <w:instrText xml:space="preserve"> REF _Ref149742884 \w \h </w:instrText>
      </w:r>
      <w:r w:rsidR="002842B4">
        <w:rPr>
          <w:u w:val="single"/>
        </w:rPr>
      </w:r>
      <w:r w:rsidR="002842B4">
        <w:rPr>
          <w:u w:val="single"/>
        </w:rPr>
        <w:fldChar w:fldCharType="separate"/>
      </w:r>
      <w:r w:rsidR="002842B4">
        <w:rPr>
          <w:u w:val="single"/>
        </w:rPr>
        <w:t>12.2(A)</w:t>
      </w:r>
      <w:r w:rsidR="002842B4">
        <w:rPr>
          <w:u w:val="single"/>
        </w:rPr>
        <w:fldChar w:fldCharType="end"/>
      </w:r>
      <w:r>
        <w:t>.</w:t>
      </w:r>
      <w:r>
        <w:rPr>
          <w:lang w:val="en-US"/>
        </w:rPr>
        <w:t xml:space="preserve"> </w:t>
      </w:r>
    </w:p>
    <w:p w14:paraId="71284893" w14:textId="6C7D40B7" w:rsidR="00B63F33" w:rsidRDefault="00B63F33">
      <w:pPr>
        <w:pStyle w:val="BodyTextFirstIndent"/>
      </w:pPr>
      <w:r>
        <w:t>“</w:t>
      </w:r>
      <w:r>
        <w:rPr>
          <w:u w:val="single"/>
        </w:rPr>
        <w:t>COD Liquidated Delay Damages</w:t>
      </w:r>
      <w:r>
        <w:t xml:space="preserve">” shall have the meaning set forth in </w:t>
      </w:r>
      <w:r>
        <w:rPr>
          <w:u w:val="single"/>
        </w:rPr>
        <w:t xml:space="preserve">Section </w:t>
      </w:r>
      <w:r w:rsidR="002842B4">
        <w:rPr>
          <w:u w:val="single"/>
        </w:rPr>
        <w:fldChar w:fldCharType="begin"/>
      </w:r>
      <w:r w:rsidR="002842B4">
        <w:rPr>
          <w:u w:val="single"/>
        </w:rPr>
        <w:instrText xml:space="preserve"> REF _Ref149742884 \w \h </w:instrText>
      </w:r>
      <w:r w:rsidR="002842B4">
        <w:rPr>
          <w:u w:val="single"/>
        </w:rPr>
      </w:r>
      <w:r w:rsidR="002842B4">
        <w:rPr>
          <w:u w:val="single"/>
        </w:rPr>
        <w:fldChar w:fldCharType="separate"/>
      </w:r>
      <w:r w:rsidR="002842B4">
        <w:rPr>
          <w:u w:val="single"/>
        </w:rPr>
        <w:t>12.2(A)</w:t>
      </w:r>
      <w:r w:rsidR="002842B4">
        <w:rPr>
          <w:u w:val="single"/>
        </w:rPr>
        <w:fldChar w:fldCharType="end"/>
      </w:r>
      <w:r>
        <w:t>.</w:t>
      </w:r>
    </w:p>
    <w:p w14:paraId="317526B0" w14:textId="1C289E73" w:rsidR="00B63F33" w:rsidRDefault="00B63F33">
      <w:pPr>
        <w:pStyle w:val="BodyTextFirstIndent"/>
        <w:ind w:right="0"/>
        <w:rPr>
          <w:lang w:val="en-US"/>
        </w:rPr>
      </w:pPr>
      <w:r>
        <w:rPr>
          <w:lang w:val="en-US"/>
        </w:rPr>
        <w:t>“</w:t>
      </w:r>
      <w:r>
        <w:rPr>
          <w:u w:val="single"/>
          <w:lang w:val="en-US"/>
        </w:rPr>
        <w:t>COD Notice</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2842B4">
        <w:rPr>
          <w:u w:val="single"/>
          <w:lang w:val="en-US"/>
        </w:rPr>
        <w:fldChar w:fldCharType="begin"/>
      </w:r>
      <w:r w:rsidR="002842B4">
        <w:rPr>
          <w:u w:val="single"/>
          <w:lang w:val="en-US"/>
        </w:rPr>
        <w:instrText xml:space="preserve"> REF _Ref149743015 \w \h </w:instrText>
      </w:r>
      <w:r w:rsidR="002842B4">
        <w:rPr>
          <w:u w:val="single"/>
          <w:lang w:val="en-US"/>
        </w:rPr>
      </w:r>
      <w:r w:rsidR="002842B4">
        <w:rPr>
          <w:u w:val="single"/>
          <w:lang w:val="en-US"/>
        </w:rPr>
        <w:fldChar w:fldCharType="separate"/>
      </w:r>
      <w:r w:rsidR="002842B4">
        <w:rPr>
          <w:u w:val="single"/>
          <w:lang w:val="en-US"/>
        </w:rPr>
        <w:t>4.5(B)</w:t>
      </w:r>
      <w:r w:rsidR="002842B4">
        <w:rPr>
          <w:u w:val="single"/>
          <w:lang w:val="en-US"/>
        </w:rPr>
        <w:fldChar w:fldCharType="end"/>
      </w:r>
      <w:r>
        <w:rPr>
          <w:lang w:val="en-US"/>
        </w:rPr>
        <w:t>.</w:t>
      </w:r>
    </w:p>
    <w:p w14:paraId="765A0E5E" w14:textId="77777777" w:rsidR="00B63F33" w:rsidRDefault="00B63F33">
      <w:pPr>
        <w:pStyle w:val="BodyTextFirstIndent"/>
        <w:ind w:right="0"/>
        <w:rPr>
          <w:rFonts w:cs="Arial"/>
        </w:rPr>
      </w:pPr>
      <w:r>
        <w:t>“</w:t>
      </w:r>
      <w:r>
        <w:rPr>
          <w:rFonts w:cs="Arial"/>
          <w:u w:val="single"/>
        </w:rPr>
        <w:t>Commercial</w:t>
      </w:r>
      <w:r>
        <w:rPr>
          <w:u w:val="single"/>
        </w:rPr>
        <w:t xml:space="preserve"> Operation</w:t>
      </w:r>
      <w:r>
        <w:t xml:space="preserve">” </w:t>
      </w:r>
      <w:r>
        <w:rPr>
          <w:rFonts w:cs="Arial"/>
        </w:rPr>
        <w:t>means</w:t>
      </w:r>
      <w:r>
        <w:t xml:space="preserve"> the period beginning on the Commercial </w:t>
      </w:r>
      <w:r>
        <w:rPr>
          <w:rFonts w:cs="Arial"/>
        </w:rPr>
        <w:t>Operation Date and continuing through the balance of the Term.</w:t>
      </w:r>
    </w:p>
    <w:p w14:paraId="77E62395" w14:textId="62929DEB" w:rsidR="00B63F33" w:rsidRDefault="00B63F33">
      <w:pPr>
        <w:pStyle w:val="BodyTextFirstIndent"/>
        <w:ind w:right="0"/>
        <w:rPr>
          <w:rFonts w:cs="Arial"/>
        </w:rPr>
      </w:pPr>
      <w:r>
        <w:rPr>
          <w:rFonts w:cs="Arial"/>
        </w:rPr>
        <w:t>“</w:t>
      </w:r>
      <w:r>
        <w:rPr>
          <w:rFonts w:cs="Arial"/>
          <w:u w:val="single"/>
        </w:rPr>
        <w:t>Commercial Operation Date</w:t>
      </w:r>
      <w:r>
        <w:rPr>
          <w:rFonts w:cs="Arial"/>
        </w:rPr>
        <w:t>” or “</w:t>
      </w:r>
      <w:r>
        <w:rPr>
          <w:rFonts w:cs="Arial"/>
          <w:u w:val="single"/>
        </w:rPr>
        <w:t>COD</w:t>
      </w:r>
      <w:r>
        <w:rPr>
          <w:rFonts w:cs="Arial"/>
        </w:rPr>
        <w:t xml:space="preserve">” shall have the meaning set forth in </w:t>
      </w:r>
      <w:r>
        <w:rPr>
          <w:rFonts w:cs="Arial"/>
          <w:u w:val="single"/>
        </w:rPr>
        <w:t xml:space="preserve">Section </w:t>
      </w:r>
      <w:r w:rsidR="002842B4">
        <w:rPr>
          <w:rFonts w:cs="Arial"/>
          <w:u w:val="single"/>
        </w:rPr>
        <w:fldChar w:fldCharType="begin"/>
      </w:r>
      <w:r w:rsidR="002842B4">
        <w:rPr>
          <w:rFonts w:cs="Arial"/>
          <w:u w:val="single"/>
        </w:rPr>
        <w:instrText xml:space="preserve"> REF _Ref149809337 \w \h </w:instrText>
      </w:r>
      <w:r w:rsidR="002842B4">
        <w:rPr>
          <w:rFonts w:cs="Arial"/>
          <w:u w:val="single"/>
        </w:rPr>
      </w:r>
      <w:r w:rsidR="002842B4">
        <w:rPr>
          <w:rFonts w:cs="Arial"/>
          <w:u w:val="single"/>
        </w:rPr>
        <w:fldChar w:fldCharType="separate"/>
      </w:r>
      <w:r w:rsidR="002842B4">
        <w:rPr>
          <w:rFonts w:cs="Arial"/>
          <w:u w:val="single"/>
        </w:rPr>
        <w:t>4.5(C)1</w:t>
      </w:r>
      <w:r w:rsidR="002842B4">
        <w:rPr>
          <w:rFonts w:cs="Arial"/>
          <w:u w:val="single"/>
        </w:rPr>
        <w:fldChar w:fldCharType="end"/>
      </w:r>
      <w:r>
        <w:rPr>
          <w:rFonts w:cs="Arial"/>
        </w:rPr>
        <w:t>.</w:t>
      </w:r>
    </w:p>
    <w:p w14:paraId="52EFF9A6" w14:textId="1204BAE6" w:rsidR="00B63F33" w:rsidRDefault="00B63F33">
      <w:pPr>
        <w:pStyle w:val="BodyTextFirstIndent"/>
        <w:ind w:right="0"/>
      </w:pPr>
      <w:r>
        <w:t>“</w:t>
      </w:r>
      <w:r>
        <w:rPr>
          <w:u w:val="single"/>
        </w:rPr>
        <w:t>Commercial Operation Year</w:t>
      </w:r>
      <w:r>
        <w:t xml:space="preserve">” </w:t>
      </w:r>
      <w:r>
        <w:rPr>
          <w:rFonts w:cs="Arial"/>
        </w:rPr>
        <w:t xml:space="preserve">shall have the meaning set forth in </w:t>
      </w:r>
      <w:r>
        <w:rPr>
          <w:rFonts w:cs="Arial"/>
          <w:u w:val="single"/>
        </w:rPr>
        <w:t xml:space="preserve">Section </w:t>
      </w:r>
      <w:r w:rsidR="002842B4">
        <w:rPr>
          <w:rFonts w:cs="Arial"/>
          <w:u w:val="single"/>
        </w:rPr>
        <w:fldChar w:fldCharType="begin"/>
      </w:r>
      <w:r w:rsidR="002842B4">
        <w:rPr>
          <w:rFonts w:cs="Arial"/>
          <w:u w:val="single"/>
        </w:rPr>
        <w:instrText xml:space="preserve"> REF _Ref149809347 \w \h </w:instrText>
      </w:r>
      <w:r w:rsidR="002842B4">
        <w:rPr>
          <w:rFonts w:cs="Arial"/>
          <w:u w:val="single"/>
        </w:rPr>
      </w:r>
      <w:r w:rsidR="002842B4">
        <w:rPr>
          <w:rFonts w:cs="Arial"/>
          <w:u w:val="single"/>
        </w:rPr>
        <w:fldChar w:fldCharType="separate"/>
      </w:r>
      <w:r w:rsidR="002842B4">
        <w:rPr>
          <w:rFonts w:cs="Arial"/>
          <w:u w:val="single"/>
        </w:rPr>
        <w:t>4.5(D)</w:t>
      </w:r>
      <w:r w:rsidR="002842B4">
        <w:rPr>
          <w:rFonts w:cs="Arial"/>
          <w:u w:val="single"/>
        </w:rPr>
        <w:fldChar w:fldCharType="end"/>
      </w:r>
      <w:r>
        <w:t>.</w:t>
      </w:r>
    </w:p>
    <w:p w14:paraId="5B492C25" w14:textId="77777777" w:rsidR="00B63F33" w:rsidRDefault="00B63F33">
      <w:pPr>
        <w:pStyle w:val="BodyTextFirstIndent"/>
        <w:ind w:right="0"/>
      </w:pPr>
      <w:r>
        <w:rPr>
          <w:rFonts w:cs="Arial"/>
        </w:rPr>
        <w:lastRenderedPageBreak/>
        <w:t>“</w:t>
      </w:r>
      <w:r>
        <w:rPr>
          <w:rFonts w:cs="Arial"/>
          <w:u w:val="single"/>
        </w:rPr>
        <w:t>Commercially Reasonable</w:t>
      </w:r>
      <w:r>
        <w:rPr>
          <w:rFonts w:cs="Arial"/>
        </w:rPr>
        <w:t>” or “</w:t>
      </w:r>
      <w:r>
        <w:rPr>
          <w:rFonts w:cs="Arial"/>
          <w:u w:val="single"/>
        </w:rPr>
        <w:t>Commercially Reasonable Efforts</w:t>
      </w:r>
      <w:r>
        <w:rPr>
          <w:rFonts w:cs="Arial"/>
        </w:rPr>
        <w:t xml:space="preserve">” means, </w:t>
      </w:r>
      <w:r>
        <w:t>with respect to any action to be taken or attempted by a Party under this PPA, the level of effort in light of the facts known to such Party at the time a decision is made that: (a) can reasonably be expected to accomplish the desired action at a reasonable cost; (b) is consistent with Go</w:t>
      </w:r>
      <w:r>
        <w:rPr>
          <w:color w:val="000000"/>
        </w:rPr>
        <w:t>od</w:t>
      </w:r>
      <w:r>
        <w:rPr>
          <w:b/>
          <w:bCs/>
          <w:color w:val="000000"/>
        </w:rPr>
        <w:t xml:space="preserve"> </w:t>
      </w:r>
      <w:r>
        <w:rPr>
          <w:color w:val="000000"/>
        </w:rPr>
        <w:t>Utility Practices</w:t>
      </w:r>
      <w:r>
        <w:t>; and (c)</w:t>
      </w:r>
      <w:r>
        <w:rPr>
          <w:lang w:val="en-US"/>
        </w:rPr>
        <w:t xml:space="preserve"> is consistent with the terms in this PPA; and (d)</w:t>
      </w:r>
      <w:r>
        <w:t xml:space="preserve"> takes into consideration the amount of advance notice required to take such action, the duration and type of action, and the competitive environment in which such action occurs.</w:t>
      </w:r>
    </w:p>
    <w:p w14:paraId="212F754A" w14:textId="5A82C186" w:rsidR="00B63F33" w:rsidRDefault="00B63F33">
      <w:pPr>
        <w:pStyle w:val="BodyTextFirstIndent"/>
        <w:ind w:right="0"/>
      </w:pPr>
      <w:r>
        <w:t>“</w:t>
      </w:r>
      <w:r>
        <w:rPr>
          <w:u w:val="single"/>
        </w:rPr>
        <w:t>Committed Energy</w:t>
      </w:r>
      <w:r>
        <w:t xml:space="preserve">” from the Facility for each Commercial Operation Year is set forth on </w:t>
      </w:r>
      <w:r w:rsidRPr="000E4265">
        <w:rPr>
          <w:u w:val="single"/>
        </w:rPr>
        <w:t>Exhibit J</w:t>
      </w:r>
      <w:r w:rsidRPr="000E4265">
        <w:rPr>
          <w:u w:val="single"/>
          <w:lang w:val="en-US"/>
        </w:rPr>
        <w:t xml:space="preserve"> – </w:t>
      </w:r>
      <w:r w:rsidRPr="000E4265">
        <w:rPr>
          <w:u w:val="single"/>
        </w:rPr>
        <w:t>R</w:t>
      </w:r>
      <w:r w:rsidRPr="000E4265">
        <w:rPr>
          <w:u w:val="single"/>
          <w:lang w:val="en-US"/>
        </w:rPr>
        <w:t>enewable Energy Payment Rate</w:t>
      </w:r>
      <w:r w:rsidRPr="000E4265">
        <w:rPr>
          <w:u w:val="single"/>
        </w:rPr>
        <w:t>; C</w:t>
      </w:r>
      <w:r w:rsidRPr="000E4265">
        <w:rPr>
          <w:u w:val="single"/>
          <w:lang w:val="en-US"/>
        </w:rPr>
        <w:t>ommitted Energy</w:t>
      </w:r>
      <w:r>
        <w:t xml:space="preserve"> hereto.  The amount of Committed Energy shall be deemed Confidential Information for purposes of </w:t>
      </w:r>
      <w:r>
        <w:rPr>
          <w:u w:val="single"/>
        </w:rPr>
        <w:t xml:space="preserve">Section </w:t>
      </w:r>
      <w:r w:rsidR="00BF33C3">
        <w:rPr>
          <w:u w:val="single"/>
        </w:rPr>
        <w:fldChar w:fldCharType="begin"/>
      </w:r>
      <w:r w:rsidR="00BF33C3">
        <w:rPr>
          <w:u w:val="single"/>
        </w:rPr>
        <w:instrText xml:space="preserve"> REF _Ref149809674 \w \h </w:instrText>
      </w:r>
      <w:r w:rsidR="00BF33C3">
        <w:rPr>
          <w:u w:val="single"/>
        </w:rPr>
      </w:r>
      <w:r w:rsidR="00BF33C3">
        <w:rPr>
          <w:u w:val="single"/>
        </w:rPr>
        <w:fldChar w:fldCharType="separate"/>
      </w:r>
      <w:r w:rsidR="00BF33C3">
        <w:rPr>
          <w:u w:val="single"/>
        </w:rPr>
        <w:t>20.18</w:t>
      </w:r>
      <w:r w:rsidR="00BF33C3">
        <w:rPr>
          <w:u w:val="single"/>
        </w:rPr>
        <w:fldChar w:fldCharType="end"/>
      </w:r>
      <w:r>
        <w:t xml:space="preserve">. </w:t>
      </w:r>
    </w:p>
    <w:p w14:paraId="34B3564D" w14:textId="77777777" w:rsidR="00B63F33" w:rsidRDefault="00B63F33">
      <w:pPr>
        <w:pStyle w:val="BodyTextFirstIndent"/>
        <w:ind w:right="0"/>
        <w:rPr>
          <w:lang w:val="en-US"/>
        </w:rPr>
      </w:pPr>
      <w:r>
        <w:rPr>
          <w:lang w:val="en-US"/>
        </w:rPr>
        <w:t>“</w:t>
      </w:r>
      <w:r>
        <w:rPr>
          <w:u w:val="single"/>
          <w:lang w:val="en-US"/>
        </w:rPr>
        <w:t>Company</w:t>
      </w:r>
      <w:r>
        <w:rPr>
          <w:lang w:val="en-US"/>
        </w:rPr>
        <w:t>” shall have the meaning set forth in the introductory paragraph.</w:t>
      </w:r>
    </w:p>
    <w:p w14:paraId="5F028736" w14:textId="654725D1" w:rsidR="00B63F33" w:rsidRDefault="00B63F33">
      <w:pPr>
        <w:pStyle w:val="BodyTextFirstIndent"/>
        <w:ind w:right="0"/>
      </w:pPr>
      <w:r>
        <w:t>“</w:t>
      </w:r>
      <w:r>
        <w:rPr>
          <w:u w:val="single"/>
        </w:rPr>
        <w:t>Confidential Information</w:t>
      </w:r>
      <w:r>
        <w:t xml:space="preserve">” shall have the meaning set forth in </w:t>
      </w:r>
      <w:r>
        <w:rPr>
          <w:u w:val="single"/>
        </w:rPr>
        <w:t xml:space="preserve">Section </w:t>
      </w:r>
      <w:r w:rsidR="00BF33C3">
        <w:rPr>
          <w:u w:val="single"/>
        </w:rPr>
        <w:fldChar w:fldCharType="begin"/>
      </w:r>
      <w:r w:rsidR="00BF33C3">
        <w:rPr>
          <w:u w:val="single"/>
        </w:rPr>
        <w:instrText xml:space="preserve"> REF _Ref149808797 \w \h </w:instrText>
      </w:r>
      <w:r w:rsidR="00BF33C3">
        <w:rPr>
          <w:u w:val="single"/>
        </w:rPr>
      </w:r>
      <w:r w:rsidR="00BF33C3">
        <w:rPr>
          <w:u w:val="single"/>
        </w:rPr>
        <w:fldChar w:fldCharType="separate"/>
      </w:r>
      <w:r w:rsidR="00BF33C3">
        <w:rPr>
          <w:u w:val="single"/>
        </w:rPr>
        <w:t>20.1(A)</w:t>
      </w:r>
      <w:r w:rsidR="00BF33C3">
        <w:rPr>
          <w:u w:val="single"/>
        </w:rPr>
        <w:fldChar w:fldCharType="end"/>
      </w:r>
      <w:r>
        <w:t>.</w:t>
      </w:r>
    </w:p>
    <w:p w14:paraId="7F0A0824" w14:textId="31E3F8EC" w:rsidR="00B63F33" w:rsidRDefault="00B63F33">
      <w:pPr>
        <w:pStyle w:val="BodyTextFirstIndent"/>
        <w:ind w:right="0"/>
      </w:pPr>
      <w:r>
        <w:t>“</w:t>
      </w:r>
      <w:r>
        <w:rPr>
          <w:u w:val="single"/>
        </w:rPr>
        <w:t>Construction Contracts</w:t>
      </w:r>
      <w:r>
        <w:t xml:space="preserve">” shall have the meaning set forth in </w:t>
      </w:r>
      <w:r>
        <w:rPr>
          <w:u w:val="single"/>
        </w:rPr>
        <w:t xml:space="preserve">Section </w:t>
      </w:r>
      <w:r w:rsidR="00BF33C3">
        <w:rPr>
          <w:u w:val="single"/>
        </w:rPr>
        <w:fldChar w:fldCharType="begin"/>
      </w:r>
      <w:r w:rsidR="00BF33C3">
        <w:rPr>
          <w:u w:val="single"/>
        </w:rPr>
        <w:instrText xml:space="preserve"> REF _Ref149809695 \w \h </w:instrText>
      </w:r>
      <w:r w:rsidR="00BF33C3">
        <w:rPr>
          <w:u w:val="single"/>
        </w:rPr>
      </w:r>
      <w:r w:rsidR="00BF33C3">
        <w:rPr>
          <w:u w:val="single"/>
        </w:rPr>
        <w:fldChar w:fldCharType="separate"/>
      </w:r>
      <w:r w:rsidR="00BF33C3">
        <w:rPr>
          <w:u w:val="single"/>
        </w:rPr>
        <w:t>4.1(A)</w:t>
      </w:r>
      <w:r w:rsidR="00BF33C3">
        <w:rPr>
          <w:u w:val="single"/>
        </w:rPr>
        <w:fldChar w:fldCharType="end"/>
      </w:r>
      <w:r>
        <w:t>.</w:t>
      </w:r>
    </w:p>
    <w:p w14:paraId="3EE75200" w14:textId="2FA77EA8" w:rsidR="00B63F33" w:rsidRPr="00922467" w:rsidRDefault="00035B77">
      <w:pPr>
        <w:pStyle w:val="BodyTextFirstIndent"/>
        <w:ind w:right="0"/>
        <w:rPr>
          <w:rFonts w:cs="Arial"/>
        </w:rPr>
      </w:pPr>
      <w:r w:rsidRPr="00922467">
        <w:rPr>
          <w:rFonts w:cs="Arial"/>
        </w:rPr>
        <w:t>“</w:t>
      </w:r>
      <w:r w:rsidRPr="00922467">
        <w:rPr>
          <w:rFonts w:cs="Arial"/>
          <w:u w:val="single"/>
        </w:rPr>
        <w:t>Construction Craft Employees</w:t>
      </w:r>
      <w:r w:rsidRPr="00922467">
        <w:rPr>
          <w:rFonts w:cs="Arial"/>
        </w:rPr>
        <w:t>” means employees engaged in on-Site construction and commencement of operations of the Facility, excluding (i) Specialty Vendors, (ii) management and supervisory employees, (iii) employees engaged in non-construction support services (including messengers, guards, safety personnel, medical and first-aid technicians, community relations or public affairs, etc.), and (iv) employees engaged in on-Site maintenance of installed equipment or systems but which maintenance occurs after installation of such equipment or system and is not directly related to construction services.</w:t>
      </w:r>
    </w:p>
    <w:p w14:paraId="4B41ACD4" w14:textId="6171277B" w:rsidR="00B63F33" w:rsidRPr="00922467" w:rsidRDefault="00B63F33">
      <w:pPr>
        <w:pStyle w:val="BodyTextFirstIndent"/>
        <w:ind w:right="0"/>
      </w:pPr>
      <w:r w:rsidRPr="00922467">
        <w:t>“</w:t>
      </w:r>
      <w:r w:rsidRPr="00922467">
        <w:rPr>
          <w:u w:val="single"/>
        </w:rPr>
        <w:t>Construction Milestones</w:t>
      </w:r>
      <w:r w:rsidRPr="00922467">
        <w:t xml:space="preserve">” means the dates set forth in </w:t>
      </w:r>
      <w:r w:rsidR="009076E2" w:rsidRPr="00922467">
        <w:rPr>
          <w:u w:val="single"/>
        </w:rPr>
        <w:t>Exhibit B - Construction Milestones</w:t>
      </w:r>
      <w:r w:rsidRPr="00922467">
        <w:t>.</w:t>
      </w:r>
    </w:p>
    <w:p w14:paraId="31903142" w14:textId="77777777" w:rsidR="00B63F33" w:rsidRPr="00922467" w:rsidRDefault="00B63F33">
      <w:pPr>
        <w:pStyle w:val="BodyTextFirstIndent"/>
        <w:ind w:right="0"/>
        <w:rPr>
          <w:lang w:val="en-US"/>
        </w:rPr>
      </w:pPr>
      <w:r w:rsidRPr="00922467">
        <w:rPr>
          <w:lang w:val="en-US"/>
        </w:rPr>
        <w:t>“</w:t>
      </w:r>
      <w:r w:rsidRPr="00922467">
        <w:rPr>
          <w:u w:val="single"/>
          <w:lang w:val="en-US"/>
        </w:rPr>
        <w:t>COVID</w:t>
      </w:r>
      <w:r w:rsidRPr="00922467">
        <w:rPr>
          <w:lang w:val="en-US"/>
        </w:rPr>
        <w:t xml:space="preserve">” means SARS-CoV-2 or COVID-19, and any evolutions or mutations thereof or related or associated epidemics, pandemic, or disease outbreaks. </w:t>
      </w:r>
    </w:p>
    <w:p w14:paraId="03BE8E91" w14:textId="269E83CD" w:rsidR="00B63F33" w:rsidRPr="00922467" w:rsidRDefault="00B63F33">
      <w:pPr>
        <w:pStyle w:val="BodyTextFirstIndent"/>
      </w:pPr>
      <w:r w:rsidRPr="00922467">
        <w:t>“</w:t>
      </w:r>
      <w:r w:rsidRPr="00922467">
        <w:rPr>
          <w:u w:val="single"/>
        </w:rPr>
        <w:t>CPD Delay</w:t>
      </w:r>
      <w:r w:rsidRPr="00922467">
        <w:t xml:space="preserve">” shall have the meaning set forth in </w:t>
      </w:r>
      <w:r w:rsidRPr="00922467">
        <w:rPr>
          <w:u w:val="single"/>
        </w:rPr>
        <w:t xml:space="preserve">Section </w:t>
      </w:r>
      <w:r w:rsidR="00BF33C3" w:rsidRPr="00922467">
        <w:rPr>
          <w:u w:val="single"/>
        </w:rPr>
        <w:fldChar w:fldCharType="begin"/>
      </w:r>
      <w:r w:rsidR="00BF33C3" w:rsidRPr="00922467">
        <w:rPr>
          <w:u w:val="single"/>
        </w:rPr>
        <w:instrText xml:space="preserve"> REF _Ref149742884 \w \h </w:instrText>
      </w:r>
      <w:r w:rsidR="00BF33C3" w:rsidRPr="00922467">
        <w:rPr>
          <w:u w:val="single"/>
        </w:rPr>
      </w:r>
      <w:r w:rsidR="00BF33C3" w:rsidRPr="00922467">
        <w:rPr>
          <w:u w:val="single"/>
        </w:rPr>
        <w:fldChar w:fldCharType="separate"/>
      </w:r>
      <w:r w:rsidR="00BF33C3" w:rsidRPr="00922467">
        <w:rPr>
          <w:u w:val="single"/>
        </w:rPr>
        <w:t>12.2(A)</w:t>
      </w:r>
      <w:r w:rsidR="00BF33C3" w:rsidRPr="00922467">
        <w:rPr>
          <w:u w:val="single"/>
        </w:rPr>
        <w:fldChar w:fldCharType="end"/>
      </w:r>
      <w:r w:rsidRPr="00922467">
        <w:t xml:space="preserve">. </w:t>
      </w:r>
    </w:p>
    <w:p w14:paraId="406FFF22" w14:textId="2A33074C" w:rsidR="00B63F33" w:rsidRPr="00922467" w:rsidRDefault="00B63F33">
      <w:pPr>
        <w:pStyle w:val="BodyTextFirstIndent"/>
        <w:ind w:right="0"/>
        <w:rPr>
          <w:lang w:val="en-US"/>
        </w:rPr>
      </w:pPr>
      <w:r w:rsidRPr="00922467">
        <w:rPr>
          <w:lang w:val="en-US"/>
        </w:rPr>
        <w:t>“</w:t>
      </w:r>
      <w:r w:rsidRPr="00922467">
        <w:rPr>
          <w:u w:val="single"/>
          <w:lang w:val="en-US"/>
        </w:rPr>
        <w:t>CPD Liquidated Delay Damages</w:t>
      </w:r>
      <w:r w:rsidRPr="00922467">
        <w:rPr>
          <w:lang w:val="en-US"/>
        </w:rPr>
        <w:t xml:space="preserve">” shall have the meaning </w:t>
      </w:r>
      <w:proofErr w:type="gramStart"/>
      <w:r w:rsidRPr="00922467">
        <w:rPr>
          <w:lang w:val="en-US"/>
        </w:rPr>
        <w:t>set forth in</w:t>
      </w:r>
      <w:proofErr w:type="gramEnd"/>
      <w:r w:rsidRPr="00922467">
        <w:rPr>
          <w:lang w:val="en-US"/>
        </w:rPr>
        <w:t xml:space="preserve"> </w:t>
      </w:r>
      <w:r w:rsidRPr="00922467">
        <w:rPr>
          <w:u w:val="single"/>
          <w:lang w:val="en-US"/>
        </w:rPr>
        <w:t xml:space="preserve">Section </w:t>
      </w:r>
      <w:r w:rsidR="00BF33C3" w:rsidRPr="00922467">
        <w:rPr>
          <w:u w:val="single"/>
          <w:lang w:val="en-US"/>
        </w:rPr>
        <w:fldChar w:fldCharType="begin"/>
      </w:r>
      <w:r w:rsidR="00BF33C3" w:rsidRPr="00922467">
        <w:rPr>
          <w:u w:val="single"/>
          <w:lang w:val="en-US"/>
        </w:rPr>
        <w:instrText xml:space="preserve"> REF _Ref149742884 \w \h </w:instrText>
      </w:r>
      <w:r w:rsidR="00BF33C3" w:rsidRPr="00922467">
        <w:rPr>
          <w:u w:val="single"/>
          <w:lang w:val="en-US"/>
        </w:rPr>
      </w:r>
      <w:r w:rsidR="00BF33C3" w:rsidRPr="00922467">
        <w:rPr>
          <w:u w:val="single"/>
          <w:lang w:val="en-US"/>
        </w:rPr>
        <w:fldChar w:fldCharType="separate"/>
      </w:r>
      <w:r w:rsidR="00BF33C3" w:rsidRPr="00922467">
        <w:rPr>
          <w:u w:val="single"/>
          <w:lang w:val="en-US"/>
        </w:rPr>
        <w:t>12.2(A)</w:t>
      </w:r>
      <w:r w:rsidR="00BF33C3" w:rsidRPr="00922467">
        <w:rPr>
          <w:u w:val="single"/>
          <w:lang w:val="en-US"/>
        </w:rPr>
        <w:fldChar w:fldCharType="end"/>
      </w:r>
      <w:r w:rsidRPr="00922467">
        <w:rPr>
          <w:lang w:val="en-US"/>
        </w:rPr>
        <w:t>.</w:t>
      </w:r>
    </w:p>
    <w:p w14:paraId="239B8682" w14:textId="1636FB5B" w:rsidR="00B63F33" w:rsidRDefault="00B63F33">
      <w:pPr>
        <w:pStyle w:val="BodyTextFirstIndent"/>
        <w:ind w:right="0"/>
      </w:pPr>
      <w:r>
        <w:t>“</w:t>
      </w:r>
      <w:r>
        <w:rPr>
          <w:u w:val="single"/>
        </w:rPr>
        <w:t>Credit Rating</w:t>
      </w:r>
      <w:r>
        <w:t xml:space="preserve">” of any </w:t>
      </w:r>
      <w:r>
        <w:rPr>
          <w:lang w:val="en-US"/>
        </w:rPr>
        <w:t>p</w:t>
      </w:r>
      <w:proofErr w:type="spellStart"/>
      <w:r>
        <w:t>erson</w:t>
      </w:r>
      <w:proofErr w:type="spellEnd"/>
      <w:r>
        <w:t xml:space="preserve"> </w:t>
      </w:r>
      <w:r>
        <w:rPr>
          <w:lang w:val="en-US"/>
        </w:rPr>
        <w:t xml:space="preserve">or entity </w:t>
      </w:r>
      <w:r>
        <w:t xml:space="preserve">means the lowest rating assigned to such </w:t>
      </w:r>
      <w:r>
        <w:rPr>
          <w:lang w:val="en-US"/>
        </w:rPr>
        <w:t>p</w:t>
      </w:r>
      <w:proofErr w:type="spellStart"/>
      <w:r>
        <w:t>erson</w:t>
      </w:r>
      <w:proofErr w:type="spellEnd"/>
      <w:r>
        <w:rPr>
          <w:lang w:val="en-US"/>
        </w:rPr>
        <w:t xml:space="preserve"> or entity’</w:t>
      </w:r>
      <w:r>
        <w:t>s long-term debt or deposit obligations (unenhanced by third-party support) by S</w:t>
      </w:r>
      <w:r>
        <w:rPr>
          <w:lang w:val="en-US"/>
        </w:rPr>
        <w:t xml:space="preserve">tandard &amp; </w:t>
      </w:r>
      <w:proofErr w:type="spellStart"/>
      <w:r>
        <w:rPr>
          <w:lang w:val="en-US"/>
        </w:rPr>
        <w:t>Poors</w:t>
      </w:r>
      <w:proofErr w:type="spellEnd"/>
      <w:r>
        <w:rPr>
          <w:lang w:val="en-US"/>
        </w:rPr>
        <w:t xml:space="preserve"> and</w:t>
      </w:r>
      <w:r>
        <w:t xml:space="preserve"> </w:t>
      </w:r>
      <w:proofErr w:type="spellStart"/>
      <w:r>
        <w:t>Moodys</w:t>
      </w:r>
      <w:proofErr w:type="spellEnd"/>
      <w:r>
        <w:t xml:space="preserve">.  If such </w:t>
      </w:r>
      <w:r>
        <w:rPr>
          <w:lang w:val="en-US"/>
        </w:rPr>
        <w:t>p</w:t>
      </w:r>
      <w:proofErr w:type="spellStart"/>
      <w:r>
        <w:t>erson</w:t>
      </w:r>
      <w:proofErr w:type="spellEnd"/>
      <w:r>
        <w:t xml:space="preserve"> </w:t>
      </w:r>
      <w:r>
        <w:rPr>
          <w:lang w:val="en-US"/>
        </w:rPr>
        <w:t xml:space="preserve">or entity </w:t>
      </w:r>
      <w:r>
        <w:t xml:space="preserve">has no outstanding long-term debt or deposit obligations, or if no rating is assigned to such obligations, “Credit Rating” shall mean the lowest general corporate credit rating or long-term issuer rating assigned to such </w:t>
      </w:r>
      <w:r>
        <w:rPr>
          <w:lang w:val="en-US"/>
        </w:rPr>
        <w:t>p</w:t>
      </w:r>
      <w:proofErr w:type="spellStart"/>
      <w:r>
        <w:t>erson</w:t>
      </w:r>
      <w:proofErr w:type="spellEnd"/>
      <w:r>
        <w:t xml:space="preserve"> </w:t>
      </w:r>
      <w:r>
        <w:rPr>
          <w:lang w:val="en-US"/>
        </w:rPr>
        <w:t xml:space="preserve">or entity </w:t>
      </w:r>
      <w:r>
        <w:t>by S</w:t>
      </w:r>
      <w:r>
        <w:rPr>
          <w:lang w:val="en-US"/>
        </w:rPr>
        <w:t xml:space="preserve">tandard &amp; </w:t>
      </w:r>
      <w:proofErr w:type="spellStart"/>
      <w:r>
        <w:rPr>
          <w:lang w:val="en-US"/>
        </w:rPr>
        <w:t>Poors</w:t>
      </w:r>
      <w:proofErr w:type="spellEnd"/>
      <w:r>
        <w:rPr>
          <w:lang w:val="en-US"/>
        </w:rPr>
        <w:t xml:space="preserve"> or</w:t>
      </w:r>
      <w:r>
        <w:t xml:space="preserve"> </w:t>
      </w:r>
      <w:proofErr w:type="spellStart"/>
      <w:r>
        <w:t>Moodys</w:t>
      </w:r>
      <w:proofErr w:type="spellEnd"/>
      <w:r>
        <w:t>.</w:t>
      </w:r>
    </w:p>
    <w:p w14:paraId="7EC7CAC6" w14:textId="6899C420" w:rsidR="00B63F33" w:rsidRDefault="00B63F33">
      <w:pPr>
        <w:pStyle w:val="BodyTextFirstIndent"/>
        <w:ind w:right="0"/>
        <w:rPr>
          <w:lang w:val="en-US"/>
        </w:rPr>
      </w:pPr>
      <w:r>
        <w:rPr>
          <w:lang w:val="en-US"/>
        </w:rPr>
        <w:t>“</w:t>
      </w:r>
      <w:r>
        <w:rPr>
          <w:u w:val="single"/>
          <w:lang w:val="en-US"/>
        </w:rPr>
        <w:t>Curtailment</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BF33C3">
        <w:rPr>
          <w:u w:val="single"/>
          <w:lang w:val="en-US"/>
        </w:rPr>
        <w:fldChar w:fldCharType="begin"/>
      </w:r>
      <w:r w:rsidR="00BF33C3">
        <w:rPr>
          <w:u w:val="single"/>
          <w:lang w:val="en-US"/>
        </w:rPr>
        <w:instrText xml:space="preserve"> REF _Ref149809795 \w \h </w:instrText>
      </w:r>
      <w:r w:rsidR="00BF33C3">
        <w:rPr>
          <w:u w:val="single"/>
          <w:lang w:val="en-US"/>
        </w:rPr>
      </w:r>
      <w:r w:rsidR="00BF33C3">
        <w:rPr>
          <w:u w:val="single"/>
          <w:lang w:val="en-US"/>
        </w:rPr>
        <w:fldChar w:fldCharType="separate"/>
      </w:r>
      <w:r w:rsidR="00BF33C3">
        <w:rPr>
          <w:u w:val="single"/>
          <w:lang w:val="en-US"/>
        </w:rPr>
        <w:t>8.3(A)</w:t>
      </w:r>
      <w:r w:rsidR="00BF33C3">
        <w:rPr>
          <w:u w:val="single"/>
          <w:lang w:val="en-US"/>
        </w:rPr>
        <w:fldChar w:fldCharType="end"/>
      </w:r>
      <w:r>
        <w:rPr>
          <w:lang w:val="en-US"/>
        </w:rPr>
        <w:t>.</w:t>
      </w:r>
    </w:p>
    <w:p w14:paraId="51BB05D0" w14:textId="76E69D2D" w:rsidR="00B63F33" w:rsidRDefault="00B63F33">
      <w:pPr>
        <w:pStyle w:val="BodyTextFirstIndent"/>
        <w:ind w:right="0"/>
      </w:pPr>
      <w:r>
        <w:lastRenderedPageBreak/>
        <w:t>“</w:t>
      </w:r>
      <w:r>
        <w:rPr>
          <w:u w:val="single"/>
        </w:rPr>
        <w:t>Damage Cap</w:t>
      </w:r>
      <w:r>
        <w:t xml:space="preserve">” shall have the meaning set forth in </w:t>
      </w:r>
      <w:r>
        <w:rPr>
          <w:u w:val="single"/>
        </w:rPr>
        <w:t xml:space="preserve">Section </w:t>
      </w:r>
      <w:r w:rsidR="00BF33C3">
        <w:rPr>
          <w:u w:val="single"/>
        </w:rPr>
        <w:fldChar w:fldCharType="begin"/>
      </w:r>
      <w:r w:rsidR="00BF33C3">
        <w:rPr>
          <w:u w:val="single"/>
        </w:rPr>
        <w:instrText xml:space="preserve"> REF _Ref149743445 \w \h </w:instrText>
      </w:r>
      <w:r w:rsidR="00BF33C3">
        <w:rPr>
          <w:u w:val="single"/>
        </w:rPr>
      </w:r>
      <w:r w:rsidR="00BF33C3">
        <w:rPr>
          <w:u w:val="single"/>
        </w:rPr>
        <w:fldChar w:fldCharType="separate"/>
      </w:r>
      <w:r w:rsidR="00BF33C3">
        <w:rPr>
          <w:u w:val="single"/>
        </w:rPr>
        <w:t>12.4(A)</w:t>
      </w:r>
      <w:r w:rsidR="00BF33C3">
        <w:rPr>
          <w:u w:val="single"/>
        </w:rPr>
        <w:fldChar w:fldCharType="end"/>
      </w:r>
      <w:r>
        <w:t>.</w:t>
      </w:r>
    </w:p>
    <w:p w14:paraId="0EDAEE62" w14:textId="77777777" w:rsidR="00B63F33" w:rsidRDefault="00B63F33">
      <w:pPr>
        <w:pStyle w:val="BodyTextFirstIndent"/>
        <w:ind w:right="0"/>
      </w:pPr>
      <w:r>
        <w:t>“</w:t>
      </w:r>
      <w:r>
        <w:rPr>
          <w:u w:val="single"/>
        </w:rPr>
        <w:t>Day</w:t>
      </w:r>
      <w:r>
        <w:t>” means a calendar day.</w:t>
      </w:r>
    </w:p>
    <w:p w14:paraId="7FF7D5B4" w14:textId="0828C35C" w:rsidR="00B63F33" w:rsidRDefault="00B63F33">
      <w:pPr>
        <w:pStyle w:val="BodyTextFirstIndent"/>
        <w:ind w:right="0"/>
        <w:rPr>
          <w:lang w:val="en-US"/>
        </w:rPr>
      </w:pPr>
      <w:r>
        <w:rPr>
          <w:lang w:val="en-US"/>
        </w:rPr>
        <w:t>“</w:t>
      </w:r>
      <w:r>
        <w:rPr>
          <w:u w:val="single"/>
          <w:lang w:val="en-US"/>
        </w:rPr>
        <w:t>DC</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BF33C3">
        <w:rPr>
          <w:u w:val="single"/>
          <w:lang w:val="en-US"/>
        </w:rPr>
        <w:fldChar w:fldCharType="begin"/>
      </w:r>
      <w:r w:rsidR="00BF33C3">
        <w:rPr>
          <w:u w:val="single"/>
          <w:lang w:val="en-US"/>
        </w:rPr>
        <w:instrText xml:space="preserve"> REF _Ref149809171 \w \h </w:instrText>
      </w:r>
      <w:r w:rsidR="00BF33C3">
        <w:rPr>
          <w:u w:val="single"/>
          <w:lang w:val="en-US"/>
        </w:rPr>
      </w:r>
      <w:r w:rsidR="00BF33C3">
        <w:rPr>
          <w:u w:val="single"/>
          <w:lang w:val="en-US"/>
        </w:rPr>
        <w:fldChar w:fldCharType="separate"/>
      </w:r>
      <w:r w:rsidR="00BF33C3">
        <w:rPr>
          <w:u w:val="single"/>
          <w:lang w:val="en-US"/>
        </w:rPr>
        <w:t>1.1(D)</w:t>
      </w:r>
      <w:r w:rsidR="00BF33C3">
        <w:rPr>
          <w:u w:val="single"/>
          <w:lang w:val="en-US"/>
        </w:rPr>
        <w:fldChar w:fldCharType="end"/>
      </w:r>
      <w:r>
        <w:rPr>
          <w:lang w:val="en-US"/>
        </w:rPr>
        <w:t>.</w:t>
      </w:r>
    </w:p>
    <w:p w14:paraId="61CE4BC1" w14:textId="52249C83" w:rsidR="00B63F33" w:rsidRPr="00EF391D" w:rsidRDefault="00B63F33">
      <w:pPr>
        <w:pStyle w:val="BodyTextFirstIndent"/>
        <w:ind w:right="0"/>
        <w:rPr>
          <w:lang w:val="en-US"/>
        </w:rPr>
      </w:pPr>
      <w:r>
        <w:rPr>
          <w:lang w:val="en-US"/>
        </w:rPr>
        <w:t>“</w:t>
      </w:r>
      <w:r>
        <w:rPr>
          <w:u w:val="single"/>
          <w:lang w:val="en-US"/>
        </w:rPr>
        <w:t>Default FMV</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BF33C3">
        <w:rPr>
          <w:u w:val="single"/>
          <w:lang w:val="en-US"/>
        </w:rPr>
        <w:fldChar w:fldCharType="begin"/>
      </w:r>
      <w:r w:rsidR="00BF33C3">
        <w:rPr>
          <w:u w:val="single"/>
          <w:lang w:val="en-US"/>
        </w:rPr>
        <w:instrText xml:space="preserve"> REF _Ref149809840 \w \h </w:instrText>
      </w:r>
      <w:r w:rsidR="00BF33C3">
        <w:rPr>
          <w:u w:val="single"/>
          <w:lang w:val="en-US"/>
        </w:rPr>
      </w:r>
      <w:r w:rsidR="00BF33C3">
        <w:rPr>
          <w:u w:val="single"/>
          <w:lang w:val="en-US"/>
        </w:rPr>
        <w:fldChar w:fldCharType="separate"/>
      </w:r>
      <w:r w:rsidR="00BF33C3">
        <w:rPr>
          <w:u w:val="single"/>
          <w:lang w:val="en-US"/>
        </w:rPr>
        <w:t>12.1(E)1</w:t>
      </w:r>
      <w:r w:rsidR="00BF33C3">
        <w:rPr>
          <w:u w:val="single"/>
          <w:lang w:val="en-US"/>
        </w:rPr>
        <w:fldChar w:fldCharType="end"/>
      </w:r>
      <w:r>
        <w:rPr>
          <w:lang w:val="en-US"/>
        </w:rPr>
        <w:t xml:space="preserve">. </w:t>
      </w:r>
    </w:p>
    <w:p w14:paraId="423D2492" w14:textId="6195257B" w:rsidR="00B63F33" w:rsidRPr="00EF391D" w:rsidRDefault="00B63F33">
      <w:pPr>
        <w:pStyle w:val="BodyTextFirstIndent"/>
        <w:ind w:right="0"/>
        <w:rPr>
          <w:b/>
          <w:i/>
          <w:sz w:val="20"/>
          <w:szCs w:val="20"/>
        </w:rPr>
      </w:pPr>
      <w:r w:rsidRPr="00EF391D">
        <w:t>“</w:t>
      </w:r>
      <w:r w:rsidRPr="00EF391D">
        <w:rPr>
          <w:u w:val="single"/>
        </w:rPr>
        <w:t>Default Option</w:t>
      </w:r>
      <w:r w:rsidRPr="00EF391D">
        <w:t xml:space="preserve">” shall have the meaning set forth in </w:t>
      </w:r>
      <w:r w:rsidRPr="00EF391D">
        <w:rPr>
          <w:u w:val="single"/>
        </w:rPr>
        <w:t xml:space="preserve">Section </w:t>
      </w:r>
      <w:r w:rsidR="00BF33C3" w:rsidRPr="00EF391D">
        <w:rPr>
          <w:u w:val="single"/>
        </w:rPr>
        <w:fldChar w:fldCharType="begin"/>
      </w:r>
      <w:r w:rsidR="00BF33C3" w:rsidRPr="00EF391D">
        <w:rPr>
          <w:u w:val="single"/>
        </w:rPr>
        <w:instrText xml:space="preserve"> REF _Ref149809847 \w \h </w:instrText>
      </w:r>
      <w:r w:rsidR="00BF33C3" w:rsidRPr="00EF391D">
        <w:rPr>
          <w:u w:val="single"/>
        </w:rPr>
      </w:r>
      <w:r w:rsidR="00BF33C3" w:rsidRPr="00EF391D">
        <w:rPr>
          <w:u w:val="single"/>
        </w:rPr>
        <w:fldChar w:fldCharType="separate"/>
      </w:r>
      <w:r w:rsidR="00BF33C3" w:rsidRPr="00EF391D">
        <w:rPr>
          <w:u w:val="single"/>
        </w:rPr>
        <w:t>12.1(E)3</w:t>
      </w:r>
      <w:r w:rsidR="00BF33C3" w:rsidRPr="00EF391D">
        <w:rPr>
          <w:u w:val="single"/>
        </w:rPr>
        <w:fldChar w:fldCharType="end"/>
      </w:r>
      <w:r w:rsidRPr="00EF391D">
        <w:t>.</w:t>
      </w:r>
      <w:r w:rsidRPr="00EF391D">
        <w:rPr>
          <w:lang w:val="en-US"/>
        </w:rPr>
        <w:t xml:space="preserve"> </w:t>
      </w:r>
    </w:p>
    <w:p w14:paraId="3EB0DFBD" w14:textId="18B95D28" w:rsidR="00B63F33" w:rsidRPr="00922467" w:rsidRDefault="00B63F33">
      <w:pPr>
        <w:pStyle w:val="BodyTextFirstIndent"/>
        <w:ind w:right="0"/>
        <w:rPr>
          <w:lang w:val="en-US"/>
        </w:rPr>
      </w:pPr>
      <w:r>
        <w:t>“</w:t>
      </w:r>
      <w:r>
        <w:rPr>
          <w:u w:val="single"/>
        </w:rPr>
        <w:t>Default Option Preliminary Exercise Notice</w:t>
      </w:r>
      <w:r>
        <w:t>”</w:t>
      </w:r>
      <w:r>
        <w:rPr>
          <w:lang w:val="en-US"/>
        </w:rPr>
        <w:t xml:space="preserve"> </w:t>
      </w:r>
      <w:r>
        <w:t xml:space="preserve">shall have the meaning set forth in </w:t>
      </w:r>
      <w:r>
        <w:rPr>
          <w:u w:val="single"/>
        </w:rPr>
        <w:t xml:space="preserve">Section </w:t>
      </w:r>
      <w:r w:rsidR="00BF33C3" w:rsidRPr="00922467">
        <w:rPr>
          <w:u w:val="single"/>
        </w:rPr>
        <w:fldChar w:fldCharType="begin"/>
      </w:r>
      <w:r w:rsidR="00BF33C3" w:rsidRPr="00922467">
        <w:rPr>
          <w:u w:val="single"/>
        </w:rPr>
        <w:instrText xml:space="preserve"> REF _Ref149742791 \w \h </w:instrText>
      </w:r>
      <w:r w:rsidR="00BF33C3" w:rsidRPr="00922467">
        <w:rPr>
          <w:u w:val="single"/>
        </w:rPr>
      </w:r>
      <w:r w:rsidR="00BF33C3" w:rsidRPr="00922467">
        <w:rPr>
          <w:u w:val="single"/>
        </w:rPr>
        <w:fldChar w:fldCharType="separate"/>
      </w:r>
      <w:r w:rsidR="00BF33C3" w:rsidRPr="00922467">
        <w:rPr>
          <w:u w:val="single"/>
        </w:rPr>
        <w:t>12.1(E)</w:t>
      </w:r>
      <w:r w:rsidR="00BF33C3" w:rsidRPr="00922467">
        <w:rPr>
          <w:u w:val="single"/>
        </w:rPr>
        <w:fldChar w:fldCharType="end"/>
      </w:r>
      <w:r w:rsidRPr="00922467">
        <w:t>.</w:t>
      </w:r>
    </w:p>
    <w:p w14:paraId="22842250" w14:textId="7E0E4F45" w:rsidR="00B63F33" w:rsidRDefault="00B63F33">
      <w:pPr>
        <w:pStyle w:val="BodyTextFirstIndent"/>
        <w:ind w:right="0"/>
      </w:pPr>
      <w:r>
        <w:t>"</w:t>
      </w:r>
      <w:r>
        <w:rPr>
          <w:u w:val="single"/>
        </w:rPr>
        <w:t>Dispute</w:t>
      </w:r>
      <w:r>
        <w:t xml:space="preserve">" shall have the meaning set forth in </w:t>
      </w:r>
      <w:r>
        <w:rPr>
          <w:u w:val="single"/>
          <w:lang w:val="en-US"/>
        </w:rPr>
        <w:t>Secti</w:t>
      </w:r>
      <w:r w:rsidRPr="00125CB7">
        <w:rPr>
          <w:u w:val="single"/>
          <w:lang w:val="en-US"/>
        </w:rPr>
        <w:t xml:space="preserve">on </w:t>
      </w:r>
      <w:r w:rsidR="00BF33C3" w:rsidRPr="00125CB7">
        <w:rPr>
          <w:u w:val="single"/>
        </w:rPr>
        <w:fldChar w:fldCharType="begin"/>
      </w:r>
      <w:r w:rsidR="00BF33C3" w:rsidRPr="00125CB7">
        <w:rPr>
          <w:u w:val="single"/>
          <w:lang w:val="en-US"/>
        </w:rPr>
        <w:instrText xml:space="preserve"> REF _Ref149809862 \w \h </w:instrText>
      </w:r>
      <w:r w:rsidR="00BF33C3" w:rsidRPr="00125CB7">
        <w:rPr>
          <w:u w:val="single"/>
        </w:rPr>
      </w:r>
      <w:r w:rsidR="00BF33C3" w:rsidRPr="00125CB7">
        <w:rPr>
          <w:u w:val="single"/>
        </w:rPr>
        <w:fldChar w:fldCharType="separate"/>
      </w:r>
      <w:r w:rsidR="00BF33C3" w:rsidRPr="00125CB7">
        <w:rPr>
          <w:u w:val="single"/>
          <w:lang w:val="en-US"/>
        </w:rPr>
        <w:t>13.1(A)</w:t>
      </w:r>
      <w:r w:rsidR="00BF33C3" w:rsidRPr="00125CB7">
        <w:rPr>
          <w:u w:val="single"/>
        </w:rPr>
        <w:fldChar w:fldCharType="end"/>
      </w:r>
      <w:r>
        <w:t>.</w:t>
      </w:r>
    </w:p>
    <w:p w14:paraId="422529EF" w14:textId="61D76429" w:rsidR="00B63F33" w:rsidRDefault="00B63F33">
      <w:pPr>
        <w:pStyle w:val="BodyTextFirstIndent"/>
        <w:ind w:right="0"/>
      </w:pPr>
      <w:r>
        <w:t>"</w:t>
      </w:r>
      <w:r>
        <w:rPr>
          <w:u w:val="single"/>
        </w:rPr>
        <w:t>Dispute</w:t>
      </w:r>
      <w:r>
        <w:rPr>
          <w:u w:val="single"/>
          <w:lang w:val="en-US"/>
        </w:rPr>
        <w:t xml:space="preserve"> Notice</w:t>
      </w:r>
      <w:r>
        <w:t xml:space="preserve">" shall have the meaning set forth in </w:t>
      </w:r>
      <w:r w:rsidRPr="00125CB7">
        <w:rPr>
          <w:u w:val="single"/>
          <w:lang w:val="en-US"/>
        </w:rPr>
        <w:t xml:space="preserve">Section </w:t>
      </w:r>
      <w:r w:rsidR="00BF33C3" w:rsidRPr="00125CB7">
        <w:rPr>
          <w:u w:val="single"/>
        </w:rPr>
        <w:fldChar w:fldCharType="begin"/>
      </w:r>
      <w:r w:rsidR="00BF33C3" w:rsidRPr="00125CB7">
        <w:rPr>
          <w:u w:val="single"/>
          <w:lang w:val="en-US"/>
        </w:rPr>
        <w:instrText xml:space="preserve"> REF _Ref149809862 \w \h </w:instrText>
      </w:r>
      <w:r w:rsidR="00BF33C3" w:rsidRPr="00125CB7">
        <w:rPr>
          <w:u w:val="single"/>
        </w:rPr>
      </w:r>
      <w:r w:rsidR="00BF33C3" w:rsidRPr="00125CB7">
        <w:rPr>
          <w:u w:val="single"/>
        </w:rPr>
        <w:fldChar w:fldCharType="separate"/>
      </w:r>
      <w:r w:rsidR="00BF33C3" w:rsidRPr="00125CB7">
        <w:rPr>
          <w:u w:val="single"/>
          <w:lang w:val="en-US"/>
        </w:rPr>
        <w:t>13.1(A)</w:t>
      </w:r>
      <w:r w:rsidR="00BF33C3" w:rsidRPr="00125CB7">
        <w:rPr>
          <w:u w:val="single"/>
        </w:rPr>
        <w:fldChar w:fldCharType="end"/>
      </w:r>
      <w:r>
        <w:t>.</w:t>
      </w:r>
    </w:p>
    <w:p w14:paraId="7E5F5595" w14:textId="77777777" w:rsidR="00BC1576" w:rsidRDefault="007048C2">
      <w:pPr>
        <w:pStyle w:val="BodyTextFirstIndent"/>
        <w:ind w:right="0"/>
        <w:rPr>
          <w:lang w:val="en-US"/>
        </w:rPr>
      </w:pPr>
      <w:r>
        <w:rPr>
          <w:lang w:val="en-US"/>
        </w:rPr>
        <w:t>“</w:t>
      </w:r>
      <w:r>
        <w:rPr>
          <w:u w:val="single"/>
          <w:lang w:val="en-US"/>
        </w:rPr>
        <w:t>Distributed Network Protocol (DNP)</w:t>
      </w:r>
      <w:r>
        <w:rPr>
          <w:lang w:val="en-US"/>
        </w:rPr>
        <w:t>” means a set of communications protocols used between components in process automation systems.</w:t>
      </w:r>
    </w:p>
    <w:p w14:paraId="26C68B9E" w14:textId="2A633D80" w:rsidR="00B63F33" w:rsidRDefault="007048C2">
      <w:pPr>
        <w:pStyle w:val="BodyTextFirstIndent"/>
        <w:ind w:right="0"/>
        <w:rPr>
          <w:lang w:val="en-US"/>
        </w:rPr>
      </w:pPr>
      <w:r>
        <w:rPr>
          <w:lang w:val="en-US"/>
        </w:rPr>
        <w:t>“</w:t>
      </w:r>
      <w:r>
        <w:rPr>
          <w:u w:val="single"/>
          <w:lang w:val="en-US"/>
        </w:rPr>
        <w:t>Effective Date</w:t>
      </w:r>
      <w:r>
        <w:rPr>
          <w:lang w:val="en-US"/>
        </w:rPr>
        <w:t>” shall have the meaning set forth in the introductory paragraph.</w:t>
      </w:r>
    </w:p>
    <w:p w14:paraId="29E7056A" w14:textId="77777777" w:rsidR="00B63F33" w:rsidRDefault="00B63F33">
      <w:pPr>
        <w:pStyle w:val="BodyTextFirstIndent"/>
        <w:ind w:right="0"/>
        <w:rPr>
          <w:lang w:val="en-US"/>
        </w:rPr>
      </w:pPr>
      <w:r>
        <w:t>“</w:t>
      </w:r>
      <w:r>
        <w:rPr>
          <w:u w:val="single"/>
        </w:rPr>
        <w:t>Electric Metering Devices</w:t>
      </w:r>
      <w:r>
        <w:t>” means revenue quality meters, metering equipment and</w:t>
      </w:r>
      <w:r>
        <w:rPr>
          <w:lang w:val="en-US"/>
        </w:rPr>
        <w:t>/or</w:t>
      </w:r>
      <w:r>
        <w:t xml:space="preserve"> data processing equipment used to measure, record and transmit data with respect to the </w:t>
      </w:r>
      <w:r>
        <w:rPr>
          <w:lang w:val="en-US"/>
        </w:rPr>
        <w:t xml:space="preserve">output of </w:t>
      </w:r>
      <w:r>
        <w:t>Renewable Energy</w:t>
      </w:r>
      <w:r>
        <w:rPr>
          <w:lang w:val="en-US"/>
        </w:rPr>
        <w:t xml:space="preserve"> from the Facility</w:t>
      </w:r>
      <w:r>
        <w:t>, including metering current transformers and metering voltage transformers.</w:t>
      </w:r>
      <w:r>
        <w:rPr>
          <w:lang w:val="en-US"/>
        </w:rPr>
        <w:t xml:space="preserve">  The Electric Metering Devices must be capable of storing five-minute revenue quality meter data for transmission to, and retrieval by, Company.  </w:t>
      </w:r>
    </w:p>
    <w:p w14:paraId="1EC78542" w14:textId="77777777" w:rsidR="00B63F33" w:rsidRDefault="00B63F33">
      <w:pPr>
        <w:pStyle w:val="BodyTextFirstIndent"/>
        <w:ind w:right="0"/>
      </w:pPr>
      <w:r>
        <w:rPr>
          <w:rFonts w:cs="Arial"/>
        </w:rPr>
        <w:t>“</w:t>
      </w:r>
      <w:r>
        <w:rPr>
          <w:rFonts w:cs="Arial"/>
          <w:u w:val="single"/>
        </w:rPr>
        <w:t>Eligible Energy Resource</w:t>
      </w:r>
      <w:r>
        <w:rPr>
          <w:rFonts w:cs="Arial"/>
        </w:rPr>
        <w:t>” means any generation resource eligible to be certified to generate, claim, own or use Renewable Energy Credits</w:t>
      </w:r>
      <w:r>
        <w:rPr>
          <w:rFonts w:cs="Arial"/>
          <w:lang w:val="en-US"/>
        </w:rPr>
        <w:t xml:space="preserve"> and green tags</w:t>
      </w:r>
      <w:r>
        <w:rPr>
          <w:rFonts w:cs="Arial"/>
        </w:rPr>
        <w:t xml:space="preserve"> pursuant to the protocols and procedures developed and approved by applicable Government Authorities for the REC Registration Program.</w:t>
      </w:r>
    </w:p>
    <w:p w14:paraId="674FEEF8" w14:textId="77777777" w:rsidR="00B63F33" w:rsidRDefault="00B63F33">
      <w:pPr>
        <w:pStyle w:val="BodyTextFirstIndent"/>
        <w:ind w:right="0"/>
      </w:pPr>
      <w:r>
        <w:t>"</w:t>
      </w:r>
      <w:r>
        <w:rPr>
          <w:u w:val="single"/>
        </w:rPr>
        <w:t>Energy Markets Control Center</w:t>
      </w:r>
      <w:r>
        <w:t>" or "</w:t>
      </w:r>
      <w:r>
        <w:rPr>
          <w:u w:val="single"/>
        </w:rPr>
        <w:t>EMCC</w:t>
      </w:r>
      <w:r>
        <w:t>" means Company's merchant representatives responsible for dispatch of generating units, including the Facility.</w:t>
      </w:r>
    </w:p>
    <w:p w14:paraId="678061CF" w14:textId="1F2A5B5A" w:rsidR="00660365" w:rsidRDefault="00660365" w:rsidP="00660365">
      <w:pPr>
        <w:pStyle w:val="BodyTextFirstIndent"/>
        <w:ind w:right="0"/>
        <w:rPr>
          <w:lang w:val="en-US"/>
        </w:rPr>
      </w:pPr>
      <w:r w:rsidRPr="00957850">
        <w:rPr>
          <w:lang w:val="en-US"/>
        </w:rPr>
        <w:t>“</w:t>
      </w:r>
      <w:r w:rsidRPr="00957850">
        <w:rPr>
          <w:u w:val="single"/>
          <w:lang w:val="en-US"/>
        </w:rPr>
        <w:t>Energy Payment Reduction</w:t>
      </w:r>
      <w:r w:rsidRPr="00957850">
        <w:rPr>
          <w:lang w:val="en-US"/>
        </w:rPr>
        <w:t xml:space="preserve">” </w:t>
      </w:r>
      <w:r w:rsidRPr="00957850">
        <w:t xml:space="preserve">shall </w:t>
      </w:r>
      <w:r w:rsidRPr="00957850">
        <w:rPr>
          <w:lang w:val="en-US"/>
        </w:rPr>
        <w:t xml:space="preserve">be as defined in </w:t>
      </w:r>
      <w:r w:rsidRPr="00957850">
        <w:rPr>
          <w:u w:val="single"/>
          <w:lang w:val="en-US"/>
        </w:rPr>
        <w:t xml:space="preserve">Section </w:t>
      </w:r>
      <w:r w:rsidR="00BF33C3">
        <w:rPr>
          <w:u w:val="single"/>
          <w:lang w:val="en-US"/>
        </w:rPr>
        <w:fldChar w:fldCharType="begin"/>
      </w:r>
      <w:r w:rsidR="00BF33C3">
        <w:rPr>
          <w:u w:val="single"/>
          <w:lang w:val="en-US"/>
        </w:rPr>
        <w:instrText xml:space="preserve"> REF _Ref149743251 \w \h </w:instrText>
      </w:r>
      <w:r w:rsidR="00BF33C3">
        <w:rPr>
          <w:u w:val="single"/>
          <w:lang w:val="en-US"/>
        </w:rPr>
      </w:r>
      <w:r w:rsidR="00BF33C3">
        <w:rPr>
          <w:u w:val="single"/>
          <w:lang w:val="en-US"/>
        </w:rPr>
        <w:fldChar w:fldCharType="separate"/>
      </w:r>
      <w:r w:rsidR="00BF33C3">
        <w:rPr>
          <w:u w:val="single"/>
          <w:lang w:val="en-US"/>
        </w:rPr>
        <w:t>8.4</w:t>
      </w:r>
      <w:r w:rsidR="00BF33C3">
        <w:rPr>
          <w:u w:val="single"/>
          <w:lang w:val="en-US"/>
        </w:rPr>
        <w:fldChar w:fldCharType="end"/>
      </w:r>
      <w:proofErr w:type="gramStart"/>
      <w:r w:rsidRPr="00957850">
        <w:rPr>
          <w:lang w:val="en-US"/>
        </w:rPr>
        <w:t>.</w:t>
      </w:r>
      <w:r>
        <w:rPr>
          <w:lang w:val="en-US"/>
        </w:rPr>
        <w:t xml:space="preserve">  </w:t>
      </w:r>
      <w:proofErr w:type="gramEnd"/>
    </w:p>
    <w:p w14:paraId="57551F85" w14:textId="7D09DFE8" w:rsidR="00C67DB5" w:rsidRDefault="005C40D8">
      <w:pPr>
        <w:pStyle w:val="BodyTextFirstIndent"/>
        <w:ind w:right="0"/>
        <w:rPr>
          <w:lang w:val="en-US"/>
        </w:rPr>
      </w:pPr>
      <w:r>
        <w:rPr>
          <w:lang w:val="en-US"/>
        </w:rPr>
        <w:t>“</w:t>
      </w:r>
      <w:r>
        <w:rPr>
          <w:u w:val="single"/>
          <w:lang w:val="en-US"/>
        </w:rPr>
        <w:t>Environmental Attributes</w:t>
      </w:r>
      <w:r>
        <w:rPr>
          <w:lang w:val="en-US"/>
        </w:rPr>
        <w:t xml:space="preserve">” shall have </w:t>
      </w:r>
      <w:bookmarkStart w:id="707" w:name="_cp_change_187"/>
      <w:r w:rsidRPr="00CE16BF">
        <w:rPr>
          <w:color w:val="000000" w:themeColor="text1"/>
          <w:lang w:val="en-US"/>
        </w:rPr>
        <w:t>the</w:t>
      </w:r>
      <w:r w:rsidRPr="00CE16BF">
        <w:rPr>
          <w:color w:val="000000" w:themeColor="text1"/>
          <w:u w:val="double" w:color="0000FF"/>
          <w:lang w:val="en-US"/>
        </w:rPr>
        <w:t xml:space="preserve"> </w:t>
      </w:r>
      <w:bookmarkEnd w:id="707"/>
      <w:r>
        <w:rPr>
          <w:lang w:val="en-US"/>
        </w:rPr>
        <w:t xml:space="preserve">meaning </w:t>
      </w:r>
      <w:proofErr w:type="gramStart"/>
      <w:r>
        <w:rPr>
          <w:lang w:val="en-US"/>
        </w:rPr>
        <w:t>set forth in</w:t>
      </w:r>
      <w:proofErr w:type="gramEnd"/>
      <w:r>
        <w:rPr>
          <w:lang w:val="en-US"/>
        </w:rPr>
        <w:t xml:space="preserve"> </w:t>
      </w:r>
      <w:r>
        <w:rPr>
          <w:u w:val="single"/>
          <w:lang w:val="en-US"/>
        </w:rPr>
        <w:t xml:space="preserve">Section </w:t>
      </w:r>
      <w:r w:rsidR="00BF33C3">
        <w:rPr>
          <w:u w:val="single"/>
          <w:lang w:val="en-US"/>
        </w:rPr>
        <w:fldChar w:fldCharType="begin"/>
      </w:r>
      <w:r w:rsidR="00BF33C3">
        <w:rPr>
          <w:u w:val="single"/>
          <w:lang w:val="en-US"/>
        </w:rPr>
        <w:instrText xml:space="preserve"> REF _Ref149809893 \w \h </w:instrText>
      </w:r>
      <w:r w:rsidR="00BF33C3">
        <w:rPr>
          <w:u w:val="single"/>
          <w:lang w:val="en-US"/>
        </w:rPr>
      </w:r>
      <w:r w:rsidR="00BF33C3">
        <w:rPr>
          <w:u w:val="single"/>
          <w:lang w:val="en-US"/>
        </w:rPr>
        <w:fldChar w:fldCharType="separate"/>
      </w:r>
      <w:r w:rsidR="00BF33C3">
        <w:rPr>
          <w:u w:val="single"/>
          <w:lang w:val="en-US"/>
        </w:rPr>
        <w:t>7.3(C)</w:t>
      </w:r>
      <w:r w:rsidR="00BF33C3">
        <w:rPr>
          <w:u w:val="single"/>
          <w:lang w:val="en-US"/>
        </w:rPr>
        <w:fldChar w:fldCharType="end"/>
      </w:r>
      <w:r>
        <w:rPr>
          <w:u w:val="single"/>
          <w:lang w:val="en-US"/>
        </w:rPr>
        <w:t>.</w:t>
      </w:r>
    </w:p>
    <w:p w14:paraId="6EE2A781" w14:textId="68EC3DB1" w:rsidR="00B63F33" w:rsidRDefault="00B63F33">
      <w:pPr>
        <w:pStyle w:val="BodyTextFirstIndent"/>
        <w:ind w:right="0"/>
      </w:pPr>
      <w:r>
        <w:t>“</w:t>
      </w:r>
      <w:r>
        <w:rPr>
          <w:u w:val="single"/>
        </w:rPr>
        <w:t>Environmental Contamination</w:t>
      </w:r>
      <w:r>
        <w:t xml:space="preserve">” shall have the meaning set forth in </w:t>
      </w:r>
      <w:r>
        <w:rPr>
          <w:u w:val="single"/>
        </w:rPr>
        <w:t xml:space="preserve">Section </w:t>
      </w:r>
      <w:r w:rsidR="00BF33C3">
        <w:rPr>
          <w:u w:val="single"/>
        </w:rPr>
        <w:fldChar w:fldCharType="begin"/>
      </w:r>
      <w:r w:rsidR="00BF33C3">
        <w:rPr>
          <w:u w:val="single"/>
        </w:rPr>
        <w:instrText xml:space="preserve"> REF _Ref149809910 \w \h </w:instrText>
      </w:r>
      <w:r w:rsidR="00BF33C3">
        <w:rPr>
          <w:u w:val="single"/>
        </w:rPr>
      </w:r>
      <w:r w:rsidR="00BF33C3">
        <w:rPr>
          <w:u w:val="single"/>
        </w:rPr>
        <w:fldChar w:fldCharType="separate"/>
      </w:r>
      <w:r w:rsidR="00BF33C3">
        <w:rPr>
          <w:u w:val="single"/>
        </w:rPr>
        <w:t>4.2(C)</w:t>
      </w:r>
      <w:r w:rsidR="00BF33C3">
        <w:rPr>
          <w:u w:val="single"/>
        </w:rPr>
        <w:fldChar w:fldCharType="end"/>
      </w:r>
      <w:r>
        <w:t>.</w:t>
      </w:r>
    </w:p>
    <w:p w14:paraId="0840FE02" w14:textId="1A378AAB" w:rsidR="00B63F33" w:rsidRPr="00922467" w:rsidRDefault="00B63F33">
      <w:pPr>
        <w:pStyle w:val="BodyTextFirstIndent"/>
        <w:ind w:right="0"/>
        <w:rPr>
          <w:b/>
          <w:sz w:val="20"/>
        </w:rPr>
      </w:pPr>
      <w:r>
        <w:t>“</w:t>
      </w:r>
      <w:r>
        <w:rPr>
          <w:u w:val="single"/>
        </w:rPr>
        <w:t>Equity Interest</w:t>
      </w:r>
      <w:r>
        <w:t>”</w:t>
      </w:r>
      <w:r>
        <w:rPr>
          <w:lang w:val="en-US"/>
        </w:rPr>
        <w:t xml:space="preserve"> shall have the meaning set forth in </w:t>
      </w:r>
      <w:r>
        <w:rPr>
          <w:u w:val="single"/>
          <w:lang w:val="en-US"/>
        </w:rPr>
        <w:t xml:space="preserve">Section </w:t>
      </w:r>
      <w:r w:rsidR="00BF33C3">
        <w:rPr>
          <w:u w:val="single"/>
          <w:lang w:val="en-US"/>
        </w:rPr>
        <w:fldChar w:fldCharType="begin"/>
      </w:r>
      <w:r w:rsidR="00BF33C3">
        <w:rPr>
          <w:u w:val="single"/>
          <w:lang w:val="en-US"/>
        </w:rPr>
        <w:instrText xml:space="preserve"> REF _Ref149809927 \w \h </w:instrText>
      </w:r>
      <w:r w:rsidR="00BF33C3">
        <w:rPr>
          <w:u w:val="single"/>
          <w:lang w:val="en-US"/>
        </w:rPr>
      </w:r>
      <w:r w:rsidR="00BF33C3">
        <w:rPr>
          <w:u w:val="single"/>
          <w:lang w:val="en-US"/>
        </w:rPr>
        <w:fldChar w:fldCharType="separate"/>
      </w:r>
      <w:r w:rsidR="00BF33C3">
        <w:rPr>
          <w:u w:val="single"/>
          <w:lang w:val="en-US"/>
        </w:rPr>
        <w:t>19.5(A)</w:t>
      </w:r>
      <w:r w:rsidR="00BF33C3">
        <w:rPr>
          <w:u w:val="single"/>
          <w:lang w:val="en-US"/>
        </w:rPr>
        <w:fldChar w:fldCharType="end"/>
      </w:r>
      <w:r>
        <w:rPr>
          <w:lang w:val="en-US"/>
        </w:rPr>
        <w:t xml:space="preserve">. </w:t>
      </w:r>
    </w:p>
    <w:p w14:paraId="405D5171" w14:textId="4B2A8BB9" w:rsidR="00B63F33" w:rsidRPr="00922467" w:rsidRDefault="00B63F33">
      <w:pPr>
        <w:pStyle w:val="BodyTextFirstIndent"/>
        <w:ind w:right="0"/>
      </w:pPr>
      <w:r w:rsidRPr="00922467">
        <w:t>“</w:t>
      </w:r>
      <w:r w:rsidRPr="00922467">
        <w:rPr>
          <w:u w:val="single"/>
        </w:rPr>
        <w:t>Equity Interest Acquisition</w:t>
      </w:r>
      <w:r w:rsidRPr="00922467">
        <w:t>”</w:t>
      </w:r>
      <w:r w:rsidRPr="00922467">
        <w:rPr>
          <w:sz w:val="20"/>
          <w:lang w:val="en-US"/>
        </w:rPr>
        <w:t xml:space="preserve"> </w:t>
      </w:r>
      <w:r w:rsidRPr="00922467">
        <w:rPr>
          <w:lang w:val="en-US"/>
        </w:rPr>
        <w:t xml:space="preserve">shall have the meaning set forth in </w:t>
      </w:r>
      <w:r w:rsidRPr="00922467">
        <w:rPr>
          <w:u w:val="single"/>
          <w:lang w:val="en-US"/>
        </w:rPr>
        <w:t xml:space="preserve">Section </w:t>
      </w:r>
      <w:r w:rsidR="00BF33C3" w:rsidRPr="00922467">
        <w:rPr>
          <w:u w:val="single"/>
          <w:lang w:val="en-US"/>
        </w:rPr>
        <w:fldChar w:fldCharType="begin"/>
      </w:r>
      <w:r w:rsidR="00BF33C3" w:rsidRPr="00922467">
        <w:rPr>
          <w:u w:val="single"/>
          <w:lang w:val="en-US"/>
        </w:rPr>
        <w:instrText xml:space="preserve"> REF _Ref149809927 \w \h </w:instrText>
      </w:r>
      <w:r w:rsidR="00BF33C3" w:rsidRPr="00922467">
        <w:rPr>
          <w:u w:val="single"/>
          <w:lang w:val="en-US"/>
        </w:rPr>
      </w:r>
      <w:r w:rsidR="00BF33C3" w:rsidRPr="00922467">
        <w:rPr>
          <w:u w:val="single"/>
          <w:lang w:val="en-US"/>
        </w:rPr>
        <w:fldChar w:fldCharType="separate"/>
      </w:r>
      <w:r w:rsidR="00BF33C3" w:rsidRPr="00922467">
        <w:rPr>
          <w:u w:val="single"/>
          <w:lang w:val="en-US"/>
        </w:rPr>
        <w:t>19.5(A)</w:t>
      </w:r>
      <w:r w:rsidR="00BF33C3" w:rsidRPr="00922467">
        <w:rPr>
          <w:u w:val="single"/>
          <w:lang w:val="en-US"/>
        </w:rPr>
        <w:fldChar w:fldCharType="end"/>
      </w:r>
      <w:r w:rsidRPr="00922467">
        <w:rPr>
          <w:lang w:val="en-US"/>
        </w:rPr>
        <w:t xml:space="preserve">. </w:t>
      </w:r>
    </w:p>
    <w:p w14:paraId="404A6D93" w14:textId="2E3F8638" w:rsidR="00582B6F" w:rsidRPr="00922467" w:rsidRDefault="00582B6F">
      <w:pPr>
        <w:pStyle w:val="BodyTextFirstIndent"/>
        <w:ind w:right="0"/>
      </w:pPr>
      <w:bookmarkStart w:id="708" w:name="_cp_change_189"/>
      <w:r w:rsidRPr="00922467">
        <w:lastRenderedPageBreak/>
        <w:t xml:space="preserve">“Equivalent Availability Reporting Factor” shall have the meaning set forth in </w:t>
      </w:r>
      <w:r w:rsidR="009076E2" w:rsidRPr="00922467">
        <w:rPr>
          <w:u w:val="single"/>
        </w:rPr>
        <w:t>Exhibit I - AGC Protocols; Data Collection; Availability Reporting</w:t>
      </w:r>
      <w:r w:rsidRPr="00922467">
        <w:t>.</w:t>
      </w:r>
      <w:bookmarkStart w:id="709" w:name="_cp_change_188"/>
      <w:bookmarkEnd w:id="708"/>
    </w:p>
    <w:bookmarkEnd w:id="709"/>
    <w:p w14:paraId="570A372A" w14:textId="40D61DC3" w:rsidR="00B63F33" w:rsidRPr="00636B4D" w:rsidRDefault="00B63F33" w:rsidP="00636B4D">
      <w:pPr>
        <w:pStyle w:val="BodyTextFirstIndent"/>
        <w:spacing w:after="60"/>
        <w:ind w:right="0"/>
        <w:rPr>
          <w:lang w:val="en-US"/>
        </w:rPr>
      </w:pPr>
      <w:r w:rsidRPr="00922467">
        <w:t>“</w:t>
      </w:r>
      <w:r w:rsidRPr="00922467">
        <w:rPr>
          <w:u w:val="single"/>
        </w:rPr>
        <w:t>ERO</w:t>
      </w:r>
      <w:r w:rsidRPr="00922467">
        <w:t>” means the Electric Reliability Organization certified by FERC pursuant to Section 215 of the Federal Power Act</w:t>
      </w:r>
      <w:r w:rsidRPr="00922467">
        <w:rPr>
          <w:lang w:val="en-US"/>
        </w:rPr>
        <w:t xml:space="preserve">, which as of the Effective Date is NERC, </w:t>
      </w:r>
      <w:r w:rsidRPr="00922467">
        <w:t xml:space="preserve"> or any successor organization.  </w:t>
      </w:r>
      <w:r w:rsidRPr="00922467">
        <w:rPr>
          <w:lang w:val="en-US"/>
        </w:rPr>
        <w:t xml:space="preserve">For purposes of the PPA, </w:t>
      </w:r>
      <w:r w:rsidRPr="00922467">
        <w:t xml:space="preserve">ERO </w:t>
      </w:r>
      <w:r w:rsidRPr="00922467">
        <w:rPr>
          <w:lang w:val="en-US"/>
        </w:rPr>
        <w:t>also includes</w:t>
      </w:r>
      <w:r w:rsidR="00636B4D">
        <w:rPr>
          <w:lang w:val="en-US"/>
        </w:rPr>
        <w:t xml:space="preserve"> </w:t>
      </w:r>
      <w:r w:rsidR="00D16A93" w:rsidRPr="00922467">
        <w:rPr>
          <w:rFonts w:cs="Arial"/>
          <w:lang w:val="en-US"/>
        </w:rPr>
        <w:t xml:space="preserve">the </w:t>
      </w:r>
      <w:r w:rsidR="00D16A93" w:rsidRPr="00922467">
        <w:rPr>
          <w:rFonts w:cs="Arial"/>
        </w:rPr>
        <w:t>Mid</w:t>
      </w:r>
      <w:r w:rsidR="00D16A93" w:rsidRPr="00922467">
        <w:rPr>
          <w:rFonts w:cs="Arial"/>
          <w:lang w:val="en-US"/>
        </w:rPr>
        <w:t>west Reliability Organization</w:t>
      </w:r>
      <w:r w:rsidR="00D16A93" w:rsidRPr="00922467">
        <w:rPr>
          <w:rFonts w:cs="Arial"/>
        </w:rPr>
        <w:t xml:space="preserve"> (M</w:t>
      </w:r>
      <w:r w:rsidR="00D16A93" w:rsidRPr="00922467">
        <w:rPr>
          <w:rFonts w:cs="Arial"/>
          <w:lang w:val="en-US"/>
        </w:rPr>
        <w:t>RO</w:t>
      </w:r>
      <w:r w:rsidR="00D16A93" w:rsidRPr="00922467">
        <w:rPr>
          <w:rFonts w:cs="Arial"/>
        </w:rPr>
        <w:t xml:space="preserve">). </w:t>
      </w:r>
    </w:p>
    <w:p w14:paraId="3DF31B4D" w14:textId="77777777" w:rsidR="00B63F33" w:rsidRPr="00922467" w:rsidRDefault="00B63F33">
      <w:pPr>
        <w:pStyle w:val="BodyTextFirstIndent"/>
        <w:spacing w:after="0"/>
        <w:ind w:left="1800" w:right="0" w:hanging="900"/>
        <w:rPr>
          <w:rFonts w:cs="Arial"/>
          <w:lang w:val="en-US"/>
        </w:rPr>
      </w:pPr>
    </w:p>
    <w:p w14:paraId="326B3908" w14:textId="4B977335" w:rsidR="00B63F33" w:rsidRDefault="00B63F33">
      <w:pPr>
        <w:pStyle w:val="BodyTextFirstIndent"/>
        <w:spacing w:after="0"/>
        <w:ind w:left="1800" w:right="0" w:hanging="1080"/>
        <w:rPr>
          <w:rFonts w:cs="Arial"/>
          <w:b/>
          <w:i/>
          <w:sz w:val="20"/>
          <w:szCs w:val="20"/>
          <w:lang w:val="en-US"/>
        </w:rPr>
      </w:pPr>
      <w:r>
        <w:rPr>
          <w:rFonts w:cs="Arial"/>
          <w:lang w:val="en-US"/>
        </w:rPr>
        <w:t>“</w:t>
      </w:r>
      <w:r>
        <w:rPr>
          <w:rFonts w:cs="Arial"/>
          <w:u w:val="single"/>
          <w:lang w:val="en-US"/>
        </w:rPr>
        <w:t>Escrow Account</w:t>
      </w:r>
      <w:r>
        <w:rPr>
          <w:rFonts w:cs="Arial"/>
          <w:lang w:val="en-US"/>
        </w:rPr>
        <w:t xml:space="preserve">” shall have the meaning </w:t>
      </w:r>
      <w:proofErr w:type="gramStart"/>
      <w:r>
        <w:rPr>
          <w:rFonts w:cs="Arial"/>
          <w:lang w:val="en-US"/>
        </w:rPr>
        <w:t>set forth in</w:t>
      </w:r>
      <w:proofErr w:type="gramEnd"/>
      <w:r>
        <w:rPr>
          <w:rFonts w:cs="Arial"/>
          <w:lang w:val="en-US"/>
        </w:rPr>
        <w:t xml:space="preserve"> </w:t>
      </w:r>
      <w:r>
        <w:rPr>
          <w:rFonts w:cs="Arial"/>
          <w:u w:val="single"/>
          <w:lang w:val="en-US"/>
        </w:rPr>
        <w:t xml:space="preserve">Section </w:t>
      </w:r>
      <w:r w:rsidR="00BF33C3">
        <w:rPr>
          <w:rFonts w:cs="Arial"/>
          <w:u w:val="single"/>
          <w:lang w:val="en-US"/>
        </w:rPr>
        <w:fldChar w:fldCharType="begin"/>
      </w:r>
      <w:r w:rsidR="00BF33C3">
        <w:rPr>
          <w:rFonts w:cs="Arial"/>
          <w:u w:val="single"/>
          <w:lang w:val="en-US"/>
        </w:rPr>
        <w:instrText xml:space="preserve"> REF _Ref149810017 \w \h </w:instrText>
      </w:r>
      <w:r w:rsidR="00BF33C3">
        <w:rPr>
          <w:rFonts w:cs="Arial"/>
          <w:u w:val="single"/>
          <w:lang w:val="en-US"/>
        </w:rPr>
      </w:r>
      <w:r w:rsidR="00BF33C3">
        <w:rPr>
          <w:rFonts w:cs="Arial"/>
          <w:u w:val="single"/>
          <w:lang w:val="en-US"/>
        </w:rPr>
        <w:fldChar w:fldCharType="separate"/>
      </w:r>
      <w:r w:rsidR="00BF33C3">
        <w:rPr>
          <w:rFonts w:cs="Arial"/>
          <w:u w:val="single"/>
          <w:lang w:val="en-US"/>
        </w:rPr>
        <w:t>11.3(B)</w:t>
      </w:r>
      <w:r w:rsidR="00BF33C3">
        <w:rPr>
          <w:rFonts w:cs="Arial"/>
          <w:u w:val="single"/>
          <w:lang w:val="en-US"/>
        </w:rPr>
        <w:fldChar w:fldCharType="end"/>
      </w:r>
      <w:r>
        <w:rPr>
          <w:rFonts w:cs="Arial"/>
          <w:lang w:val="en-US"/>
        </w:rPr>
        <w:t>.</w:t>
      </w:r>
    </w:p>
    <w:p w14:paraId="5677BC80" w14:textId="77777777" w:rsidR="00B63F33" w:rsidRDefault="00B63F33">
      <w:pPr>
        <w:pStyle w:val="BodyTextFirstIndent"/>
        <w:spacing w:after="0"/>
        <w:ind w:right="0"/>
      </w:pPr>
    </w:p>
    <w:p w14:paraId="4A87571C" w14:textId="0C2B8668" w:rsidR="00B63F33" w:rsidRDefault="00B63F33">
      <w:pPr>
        <w:pStyle w:val="BodyTextFirstIndent"/>
        <w:spacing w:after="0"/>
        <w:ind w:right="0"/>
      </w:pPr>
      <w:r>
        <w:t>“</w:t>
      </w:r>
      <w:r>
        <w:rPr>
          <w:u w:val="single"/>
        </w:rPr>
        <w:t>Event of Default</w:t>
      </w:r>
      <w:r>
        <w:t xml:space="preserve">” shall have the meaning set forth in </w:t>
      </w:r>
      <w:r w:rsidR="00BF33C3">
        <w:rPr>
          <w:u w:val="single"/>
        </w:rPr>
        <w:fldChar w:fldCharType="begin"/>
      </w:r>
      <w:r w:rsidR="00BF33C3">
        <w:instrText xml:space="preserve"> REF _Ref149810027 \w \h </w:instrText>
      </w:r>
      <w:r w:rsidR="00BF33C3">
        <w:rPr>
          <w:u w:val="single"/>
        </w:rPr>
      </w:r>
      <w:r w:rsidR="00BF33C3">
        <w:rPr>
          <w:u w:val="single"/>
        </w:rPr>
        <w:fldChar w:fldCharType="separate"/>
      </w:r>
      <w:r w:rsidR="00BF33C3">
        <w:t>Ar</w:t>
      </w:r>
      <w:r w:rsidR="00BF33C3" w:rsidRPr="007C49EF">
        <w:rPr>
          <w:u w:val="single"/>
        </w:rPr>
        <w:t>ticle 12</w:t>
      </w:r>
      <w:r w:rsidR="00BF33C3">
        <w:rPr>
          <w:u w:val="single"/>
        </w:rPr>
        <w:fldChar w:fldCharType="end"/>
      </w:r>
      <w:r>
        <w:t>.</w:t>
      </w:r>
    </w:p>
    <w:p w14:paraId="7878E200" w14:textId="012F1F65" w:rsidR="00B62BC0" w:rsidRDefault="00B62BC0">
      <w:pPr>
        <w:pStyle w:val="BodyTextFirstIndent"/>
        <w:spacing w:after="0"/>
        <w:ind w:right="0"/>
        <w:rPr>
          <w:lang w:val="en-US"/>
        </w:rPr>
      </w:pPr>
    </w:p>
    <w:p w14:paraId="5B413BCC" w14:textId="1EE209CC" w:rsidR="00B62BC0" w:rsidRPr="005357FF" w:rsidRDefault="00B62BC0">
      <w:pPr>
        <w:pStyle w:val="BodyTextFirstIndent"/>
        <w:spacing w:after="0"/>
        <w:ind w:right="0"/>
        <w:rPr>
          <w:lang w:val="en-US"/>
        </w:rPr>
      </w:pPr>
      <w:r>
        <w:rPr>
          <w:lang w:val="en-US"/>
        </w:rPr>
        <w:t>“</w:t>
      </w:r>
      <w:r w:rsidRPr="005357FF">
        <w:rPr>
          <w:u w:val="single"/>
          <w:lang w:val="en-US"/>
        </w:rPr>
        <w:t>Equity Purchase Price</w:t>
      </w:r>
      <w:r>
        <w:rPr>
          <w:lang w:val="en-US"/>
        </w:rPr>
        <w:t xml:space="preserve">” </w:t>
      </w:r>
      <w:r w:rsidR="00D31A55">
        <w:rPr>
          <w:lang w:val="en-US"/>
        </w:rPr>
        <w:t xml:space="preserve">shall have the meaning set forth in </w:t>
      </w:r>
      <w:r w:rsidR="00D31A55" w:rsidRPr="005357FF">
        <w:rPr>
          <w:u w:val="single"/>
          <w:lang w:val="en-US"/>
        </w:rPr>
        <w:t>Exhibit L-1</w:t>
      </w:r>
    </w:p>
    <w:p w14:paraId="4525BA7E" w14:textId="77777777" w:rsidR="00B63F33" w:rsidRDefault="00B63F33">
      <w:pPr>
        <w:pStyle w:val="BodyTextFirstIndent"/>
        <w:ind w:right="0"/>
      </w:pPr>
    </w:p>
    <w:p w14:paraId="53704E23" w14:textId="53E572C6" w:rsidR="00B63F33" w:rsidRDefault="00B63F33">
      <w:pPr>
        <w:pStyle w:val="BodyTextFirstIndent"/>
        <w:ind w:right="0"/>
      </w:pPr>
      <w:r>
        <w:t>“</w:t>
      </w:r>
      <w:r>
        <w:rPr>
          <w:u w:val="single"/>
        </w:rPr>
        <w:t>Excess Energy</w:t>
      </w:r>
      <w:r>
        <w:t xml:space="preserve">” shall have the meaning set forth in </w:t>
      </w:r>
      <w:r>
        <w:rPr>
          <w:u w:val="single"/>
        </w:rPr>
        <w:t xml:space="preserve">Section </w:t>
      </w:r>
      <w:r w:rsidR="00BF33C3">
        <w:rPr>
          <w:u w:val="single"/>
        </w:rPr>
        <w:fldChar w:fldCharType="begin"/>
      </w:r>
      <w:r w:rsidR="00BF33C3">
        <w:rPr>
          <w:u w:val="single"/>
        </w:rPr>
        <w:instrText xml:space="preserve"> REF _Ref149810049 \w \h </w:instrText>
      </w:r>
      <w:r w:rsidR="00BF33C3">
        <w:rPr>
          <w:u w:val="single"/>
        </w:rPr>
      </w:r>
      <w:r w:rsidR="00BF33C3">
        <w:rPr>
          <w:u w:val="single"/>
        </w:rPr>
        <w:fldChar w:fldCharType="separate"/>
      </w:r>
      <w:r w:rsidR="00BF33C3">
        <w:rPr>
          <w:u w:val="single"/>
        </w:rPr>
        <w:t>8.2(D)</w:t>
      </w:r>
      <w:r w:rsidR="00BF33C3">
        <w:rPr>
          <w:u w:val="single"/>
        </w:rPr>
        <w:fldChar w:fldCharType="end"/>
      </w:r>
      <w:r>
        <w:t>.</w:t>
      </w:r>
    </w:p>
    <w:p w14:paraId="167270CE" w14:textId="6842758D" w:rsidR="00B63F33" w:rsidRDefault="00B63F33">
      <w:pPr>
        <w:pStyle w:val="BodyTextFirstIndent"/>
        <w:ind w:right="0"/>
      </w:pPr>
      <w:r>
        <w:t>“</w:t>
      </w:r>
      <w:r>
        <w:rPr>
          <w:u w:val="single"/>
        </w:rPr>
        <w:t>Facility</w:t>
      </w:r>
      <w:r>
        <w:t xml:space="preserve">” means Seller’s electric generating facilities, associated balance of plant, parts, fixtures and equipment, and all equipment necessary to interconnect to the Transmission Authority’s System, all as further described in </w:t>
      </w:r>
      <w:r w:rsidR="009076E2" w:rsidRPr="009076E2">
        <w:rPr>
          <w:u w:val="single"/>
        </w:rPr>
        <w:t>Exhibit C - Facility Description And Site Maps</w:t>
      </w:r>
      <w:r>
        <w:t xml:space="preserve">, including Seller’s rights to the Site and all of the following:  buildings, </w:t>
      </w:r>
      <w:r>
        <w:rPr>
          <w:lang w:val="en-US"/>
        </w:rPr>
        <w:t>[</w:t>
      </w:r>
      <w:r>
        <w:rPr>
          <w:highlight w:val="yellow"/>
        </w:rPr>
        <w:t>turbines</w:t>
      </w:r>
      <w:r>
        <w:rPr>
          <w:lang w:val="en-US"/>
        </w:rPr>
        <w:t>] [</w:t>
      </w:r>
      <w:r>
        <w:rPr>
          <w:highlight w:val="yellow"/>
          <w:lang w:val="en-US"/>
        </w:rPr>
        <w:t>panels</w:t>
      </w:r>
      <w:r>
        <w:rPr>
          <w:lang w:val="en-US"/>
        </w:rPr>
        <w:t>]</w:t>
      </w:r>
      <w:r>
        <w:t xml:space="preserve">, generators, 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generation and delivery of the capacity and </w:t>
      </w:r>
      <w:r>
        <w:rPr>
          <w:lang w:val="en-US"/>
        </w:rPr>
        <w:t xml:space="preserve">Renewable Energy </w:t>
      </w:r>
      <w:r>
        <w:t>subject to this PPA.</w:t>
      </w:r>
    </w:p>
    <w:p w14:paraId="3F5E4B61" w14:textId="14DF55DA" w:rsidR="00B63F33" w:rsidRPr="00922467" w:rsidRDefault="00B63F33">
      <w:pPr>
        <w:pStyle w:val="BodyTextFirstIndent"/>
        <w:ind w:right="0"/>
        <w:rPr>
          <w:lang w:val="en-US"/>
        </w:rPr>
      </w:pPr>
      <w:r>
        <w:t>“</w:t>
      </w:r>
      <w:r>
        <w:rPr>
          <w:u w:val="single"/>
        </w:rPr>
        <w:t>Facility Acquisition</w:t>
      </w:r>
      <w:r>
        <w:t>”</w:t>
      </w:r>
      <w:r>
        <w:rPr>
          <w:lang w:val="en-US"/>
        </w:rPr>
        <w:t xml:space="preserve"> shall have the meaning set forth in </w:t>
      </w:r>
      <w:r>
        <w:rPr>
          <w:u w:val="single"/>
          <w:lang w:val="en-US"/>
        </w:rPr>
        <w:t xml:space="preserve">Section </w:t>
      </w:r>
      <w:r w:rsidR="00BF33C3">
        <w:rPr>
          <w:u w:val="single"/>
          <w:lang w:val="en-US"/>
        </w:rPr>
        <w:fldChar w:fldCharType="begin"/>
      </w:r>
      <w:r w:rsidR="00BF33C3">
        <w:rPr>
          <w:u w:val="single"/>
          <w:lang w:val="en-US"/>
        </w:rPr>
        <w:instrText xml:space="preserve"> REF _Ref149809927 \w \h </w:instrText>
      </w:r>
      <w:r w:rsidR="00BF33C3">
        <w:rPr>
          <w:u w:val="single"/>
          <w:lang w:val="en-US"/>
        </w:rPr>
      </w:r>
      <w:r w:rsidR="00BF33C3">
        <w:rPr>
          <w:u w:val="single"/>
          <w:lang w:val="en-US"/>
        </w:rPr>
        <w:fldChar w:fldCharType="separate"/>
      </w:r>
      <w:r w:rsidR="00BF33C3">
        <w:rPr>
          <w:u w:val="single"/>
          <w:lang w:val="en-US"/>
        </w:rPr>
        <w:t>19.5(A)</w:t>
      </w:r>
      <w:r w:rsidR="00BF33C3">
        <w:rPr>
          <w:u w:val="single"/>
          <w:lang w:val="en-US"/>
        </w:rPr>
        <w:fldChar w:fldCharType="end"/>
      </w:r>
      <w:r>
        <w:rPr>
          <w:lang w:val="en-US"/>
        </w:rPr>
        <w:t xml:space="preserve">. </w:t>
      </w:r>
    </w:p>
    <w:p w14:paraId="1F7E9917" w14:textId="1CCE753D" w:rsidR="00B63F33" w:rsidRPr="00922467" w:rsidRDefault="00B63F33">
      <w:pPr>
        <w:pStyle w:val="BodyTextFirstIndent"/>
        <w:ind w:right="0"/>
      </w:pPr>
      <w:r w:rsidRPr="00922467">
        <w:t>“</w:t>
      </w:r>
      <w:r w:rsidRPr="00922467">
        <w:rPr>
          <w:u w:val="single"/>
        </w:rPr>
        <w:t>Facility Debt</w:t>
      </w:r>
      <w:r w:rsidRPr="00922467">
        <w:t xml:space="preserve">” means the obligations of Seller or its Affiliates to any lender or tax equity </w:t>
      </w:r>
      <w:r w:rsidRPr="00922467">
        <w:rPr>
          <w:lang w:val="en-US"/>
        </w:rPr>
        <w:t xml:space="preserve">or other equity </w:t>
      </w:r>
      <w:r w:rsidRPr="00922467">
        <w:t>investor pursuant to the Financing Documents, including principal of, premium and interest on indebtedness, fees, expenses or penalties, amounts due upon acceleration, prepayment or restructuring, swap or interest rate hedging breakage costs and any fees or interest due with respect to any of the foregoing.</w:t>
      </w:r>
    </w:p>
    <w:p w14:paraId="56C3BA75" w14:textId="77777777" w:rsidR="00B63F33" w:rsidRPr="00922467" w:rsidRDefault="00B63F33">
      <w:pPr>
        <w:pStyle w:val="BodyTextFirstIndent"/>
        <w:ind w:right="0"/>
      </w:pPr>
      <w:r w:rsidRPr="00922467">
        <w:t>“</w:t>
      </w:r>
      <w:r w:rsidRPr="00922467">
        <w:rPr>
          <w:u w:val="single"/>
        </w:rPr>
        <w:t>Facility Lender</w:t>
      </w:r>
      <w:r w:rsidRPr="00922467">
        <w:t>” means, collectively, any lenders or tax equity investors providing Facility Debt, including any successors or assigns thereof.</w:t>
      </w:r>
    </w:p>
    <w:p w14:paraId="2DD4EFB3" w14:textId="77777777" w:rsidR="00B63F33" w:rsidRPr="00922467" w:rsidRDefault="00B63F33">
      <w:pPr>
        <w:pStyle w:val="BodyTextFirstIndent"/>
        <w:ind w:right="0"/>
      </w:pPr>
      <w:r w:rsidRPr="00922467">
        <w:t>"</w:t>
      </w:r>
      <w:r w:rsidRPr="00922467">
        <w:rPr>
          <w:u w:val="single"/>
        </w:rPr>
        <w:t>Federal Power Act</w:t>
      </w:r>
      <w:r w:rsidRPr="00922467">
        <w:t xml:space="preserve">" means the provisions of 16 U.S.C. </w:t>
      </w:r>
      <w:r w:rsidRPr="00922467">
        <w:rPr>
          <w:rFonts w:cs="Arial"/>
        </w:rPr>
        <w:t>§</w:t>
      </w:r>
      <w:r w:rsidRPr="00922467">
        <w:t xml:space="preserve">791(A) </w:t>
      </w:r>
      <w:r w:rsidRPr="00922467">
        <w:rPr>
          <w:i/>
        </w:rPr>
        <w:t>et seq</w:t>
      </w:r>
      <w:r w:rsidRPr="00922467">
        <w:t>. and amendments or supplements thereto.</w:t>
      </w:r>
    </w:p>
    <w:p w14:paraId="5CFC6DA8" w14:textId="77777777" w:rsidR="00B63F33" w:rsidRPr="00922467" w:rsidRDefault="00B63F33">
      <w:pPr>
        <w:pStyle w:val="BodyTextFirstIndent"/>
        <w:ind w:right="0"/>
      </w:pPr>
      <w:r w:rsidRPr="00922467">
        <w:t>“</w:t>
      </w:r>
      <w:r w:rsidRPr="00922467">
        <w:rPr>
          <w:u w:val="single"/>
        </w:rPr>
        <w:t>FERC</w:t>
      </w:r>
      <w:r w:rsidRPr="00922467">
        <w:t>” means the Federal Energy Regulatory Commission or any successor agency.</w:t>
      </w:r>
    </w:p>
    <w:p w14:paraId="5B07B8BF" w14:textId="77777777" w:rsidR="00B63F33" w:rsidRPr="00922467" w:rsidRDefault="00B63F33">
      <w:pPr>
        <w:pStyle w:val="BodyTextFirstIndent"/>
        <w:ind w:right="0"/>
      </w:pPr>
      <w:r w:rsidRPr="00922467">
        <w:t>“</w:t>
      </w:r>
      <w:r w:rsidRPr="00922467">
        <w:rPr>
          <w:u w:val="single"/>
        </w:rPr>
        <w:t>Financing Documents</w:t>
      </w:r>
      <w:r w:rsidRPr="00922467">
        <w:t xml:space="preserve">” means the loan and credit agreements, notes, bonds, indentures, security agreements, lease financing agreements, </w:t>
      </w:r>
      <w:r w:rsidRPr="00922467">
        <w:rPr>
          <w:lang w:val="en-US"/>
        </w:rPr>
        <w:t xml:space="preserve">equity contribution </w:t>
      </w:r>
      <w:r w:rsidRPr="00922467">
        <w:rPr>
          <w:lang w:val="en-US"/>
        </w:rPr>
        <w:lastRenderedPageBreak/>
        <w:t xml:space="preserve">agreements, </w:t>
      </w:r>
      <w:r w:rsidRPr="00922467">
        <w:t>mortgages, deeds of trust, interest rate exchanges, swap agreements and other documents relating to the development, bridge, construction</w:t>
      </w:r>
      <w:r w:rsidRPr="00922467">
        <w:rPr>
          <w:lang w:val="en-US"/>
        </w:rPr>
        <w:t xml:space="preserve">, back-leverage </w:t>
      </w:r>
      <w:r w:rsidRPr="00922467">
        <w:t xml:space="preserve"> or permanent debt financing and/or tax equity financing for the Facility, including any credit enhancement, credit support, working capital financing, or refinancing documents, and any and all amendments, modifications, or supplements to the foregoing that may be entered into from time to time at the discretion of Seller in connection with development, construction, ownership, leasing, operation or maintenance of the Facility.</w:t>
      </w:r>
    </w:p>
    <w:p w14:paraId="524754BF" w14:textId="3A3F0F80" w:rsidR="00B63F33" w:rsidRPr="00922467" w:rsidRDefault="00B63F33">
      <w:pPr>
        <w:pStyle w:val="BodyTextFirstIndent"/>
        <w:ind w:right="0"/>
        <w:rPr>
          <w:lang w:val="en-US"/>
        </w:rPr>
      </w:pPr>
      <w:r w:rsidRPr="00922467">
        <w:rPr>
          <w:lang w:val="en-US"/>
        </w:rPr>
        <w:t>“</w:t>
      </w:r>
      <w:r w:rsidRPr="00922467">
        <w:rPr>
          <w:u w:val="single"/>
          <w:lang w:val="en-US"/>
        </w:rPr>
        <w:t>FMV</w:t>
      </w:r>
      <w:r w:rsidRPr="00922467">
        <w:rPr>
          <w:lang w:val="en-US"/>
        </w:rPr>
        <w:t xml:space="preserve">” means the “fair market value.” </w:t>
      </w:r>
    </w:p>
    <w:p w14:paraId="158B09AB" w14:textId="4BE704B2" w:rsidR="00B63F33" w:rsidRDefault="00B63F33">
      <w:pPr>
        <w:pStyle w:val="BodyTextFirstIndent"/>
        <w:ind w:right="0"/>
        <w:rPr>
          <w:lang w:val="en-US"/>
        </w:rPr>
      </w:pPr>
      <w:r>
        <w:rPr>
          <w:lang w:val="en-US"/>
        </w:rPr>
        <w:t>“</w:t>
      </w:r>
      <w:r>
        <w:rPr>
          <w:u w:val="single"/>
          <w:lang w:val="en-US"/>
        </w:rPr>
        <w:t>Force Majeure</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BF33C3">
        <w:rPr>
          <w:u w:val="single"/>
          <w:lang w:val="en-US"/>
        </w:rPr>
        <w:fldChar w:fldCharType="begin"/>
      </w:r>
      <w:r w:rsidR="00BF33C3">
        <w:rPr>
          <w:u w:val="single"/>
          <w:lang w:val="en-US"/>
        </w:rPr>
        <w:instrText xml:space="preserve"> REF _Ref149810086 \w \h </w:instrText>
      </w:r>
      <w:r w:rsidR="00BF33C3">
        <w:rPr>
          <w:u w:val="single"/>
          <w:lang w:val="en-US"/>
        </w:rPr>
      </w:r>
      <w:r w:rsidR="00BF33C3">
        <w:rPr>
          <w:u w:val="single"/>
          <w:lang w:val="en-US"/>
        </w:rPr>
        <w:fldChar w:fldCharType="separate"/>
      </w:r>
      <w:r w:rsidR="00BF33C3">
        <w:rPr>
          <w:u w:val="single"/>
          <w:lang w:val="en-US"/>
        </w:rPr>
        <w:t>14.1</w:t>
      </w:r>
      <w:r w:rsidR="00BF33C3">
        <w:rPr>
          <w:u w:val="single"/>
          <w:lang w:val="en-US"/>
        </w:rPr>
        <w:fldChar w:fldCharType="end"/>
      </w:r>
      <w:r>
        <w:rPr>
          <w:lang w:val="en-US"/>
        </w:rPr>
        <w:t>.</w:t>
      </w:r>
    </w:p>
    <w:p w14:paraId="11FE9647" w14:textId="78AC08BC" w:rsidR="00B63F33" w:rsidRDefault="00B63F33">
      <w:pPr>
        <w:pStyle w:val="BodyTextFirstIndent"/>
        <w:ind w:right="0"/>
        <w:rPr>
          <w:lang w:val="en-US"/>
        </w:rPr>
      </w:pPr>
      <w:r>
        <w:rPr>
          <w:lang w:val="en-US"/>
        </w:rPr>
        <w:t>“</w:t>
      </w:r>
      <w:r>
        <w:rPr>
          <w:u w:val="single"/>
          <w:lang w:val="en-US"/>
        </w:rPr>
        <w:t>Forced Labor Laws</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BF33C3">
        <w:rPr>
          <w:u w:val="single"/>
          <w:lang w:val="en-US"/>
        </w:rPr>
        <w:fldChar w:fldCharType="begin"/>
      </w:r>
      <w:r w:rsidR="00BF33C3">
        <w:rPr>
          <w:u w:val="single"/>
          <w:lang w:val="en-US"/>
        </w:rPr>
        <w:instrText xml:space="preserve"> REF _Ref149743057 \w \h </w:instrText>
      </w:r>
      <w:r w:rsidR="00BF33C3">
        <w:rPr>
          <w:u w:val="single"/>
          <w:lang w:val="en-US"/>
        </w:rPr>
      </w:r>
      <w:r w:rsidR="00BF33C3">
        <w:rPr>
          <w:u w:val="single"/>
          <w:lang w:val="en-US"/>
        </w:rPr>
        <w:fldChar w:fldCharType="separate"/>
      </w:r>
      <w:r w:rsidR="00BF33C3">
        <w:rPr>
          <w:u w:val="single"/>
          <w:lang w:val="en-US"/>
        </w:rPr>
        <w:t>15(B)2</w:t>
      </w:r>
      <w:r w:rsidR="00BF33C3">
        <w:rPr>
          <w:u w:val="single"/>
          <w:lang w:val="en-US"/>
        </w:rPr>
        <w:fldChar w:fldCharType="end"/>
      </w:r>
      <w:r>
        <w:rPr>
          <w:lang w:val="en-US"/>
        </w:rPr>
        <w:t xml:space="preserve">. </w:t>
      </w:r>
    </w:p>
    <w:p w14:paraId="6ED7DB43" w14:textId="743D3750" w:rsidR="00B63F33" w:rsidRDefault="00B63F33">
      <w:pPr>
        <w:pStyle w:val="BodyTextFirstIndent"/>
        <w:ind w:right="0"/>
      </w:pPr>
      <w:r>
        <w:t>“</w:t>
      </w:r>
      <w:r>
        <w:rPr>
          <w:u w:val="single"/>
        </w:rPr>
        <w:t>Forced Outage</w:t>
      </w:r>
      <w:r>
        <w:t>” means any condition at the Facility that requires the immediate and unplanned removal of the Facility, or at least ten percent</w:t>
      </w:r>
      <w:bookmarkStart w:id="710" w:name="_cp_change_191"/>
      <w:r w:rsidR="00EF391D">
        <w:rPr>
          <w:lang w:val="en-US"/>
        </w:rPr>
        <w:t xml:space="preserve"> </w:t>
      </w:r>
      <w:r w:rsidR="00EF391D">
        <w:rPr>
          <w:color w:val="000000" w:themeColor="text1"/>
          <w:u w:val="double" w:color="0000FF"/>
          <w:lang w:val="en-US"/>
        </w:rPr>
        <w:t>(</w:t>
      </w:r>
      <w:r w:rsidRPr="00957850">
        <w:rPr>
          <w:color w:val="000000" w:themeColor="text1"/>
          <w:lang w:val="en-US"/>
        </w:rPr>
        <w:t>10%)</w:t>
      </w:r>
      <w:bookmarkEnd w:id="710"/>
      <w:r w:rsidRPr="00957850">
        <w:rPr>
          <w:color w:val="000000" w:themeColor="text1"/>
        </w:rPr>
        <w:t xml:space="preserve"> </w:t>
      </w:r>
      <w:r w:rsidRPr="00957850">
        <w:rPr>
          <w:color w:val="000000" w:themeColor="text1"/>
          <w:lang w:val="en-US"/>
        </w:rPr>
        <w:t xml:space="preserve">or </w:t>
      </w:r>
      <w:bookmarkStart w:id="711" w:name="_cp_change_192"/>
      <w:r w:rsidRPr="00957850">
        <w:rPr>
          <w:color w:val="000000" w:themeColor="text1"/>
          <w:lang w:val="en-US"/>
        </w:rPr>
        <w:t>five (</w:t>
      </w:r>
      <w:bookmarkEnd w:id="711"/>
      <w:r w:rsidRPr="00957850">
        <w:rPr>
          <w:color w:val="000000" w:themeColor="text1"/>
          <w:lang w:val="en-US"/>
        </w:rPr>
        <w:t>5</w:t>
      </w:r>
      <w:bookmarkStart w:id="712" w:name="_cp_change_193"/>
      <w:r w:rsidRPr="00957850">
        <w:rPr>
          <w:color w:val="000000" w:themeColor="text1"/>
          <w:lang w:val="en-US"/>
        </w:rPr>
        <w:t>)</w:t>
      </w:r>
      <w:bookmarkEnd w:id="712"/>
      <w:r w:rsidRPr="00957850">
        <w:rPr>
          <w:color w:val="000000" w:themeColor="text1"/>
          <w:lang w:val="en-US"/>
        </w:rPr>
        <w:t xml:space="preserve"> </w:t>
      </w:r>
      <w:r>
        <w:rPr>
          <w:lang w:val="en-US"/>
        </w:rPr>
        <w:t xml:space="preserve">MW, whichever is less </w:t>
      </w:r>
      <w:r>
        <w:t>thereof, from service, another outage state, or a reserve shutdown state, resulting from immediate mechanical/electrical/hydraulic control system trips and operator-initiated trips in response to abnormal Facility conditions or alarms.</w:t>
      </w:r>
    </w:p>
    <w:p w14:paraId="6A037F64" w14:textId="7AD81FF6" w:rsidR="00B63F33" w:rsidRDefault="00B63F33">
      <w:pPr>
        <w:pStyle w:val="BodyTextFirstIndent"/>
        <w:ind w:right="0"/>
        <w:rPr>
          <w:lang w:val="en-US"/>
        </w:rPr>
      </w:pPr>
      <w:r>
        <w:rPr>
          <w:lang w:val="en-US"/>
        </w:rPr>
        <w:t>“</w:t>
      </w:r>
      <w:r>
        <w:rPr>
          <w:u w:val="single"/>
          <w:lang w:val="en-US"/>
        </w:rPr>
        <w:t>Generation Limit</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BF33C3">
        <w:rPr>
          <w:u w:val="single"/>
          <w:lang w:val="en-US"/>
        </w:rPr>
        <w:fldChar w:fldCharType="begin"/>
      </w:r>
      <w:r w:rsidR="00BF33C3">
        <w:rPr>
          <w:u w:val="single"/>
          <w:lang w:val="en-US"/>
        </w:rPr>
        <w:instrText xml:space="preserve"> REF _Ref149810128 \w \h </w:instrText>
      </w:r>
      <w:r w:rsidR="00BF33C3">
        <w:rPr>
          <w:u w:val="single"/>
          <w:lang w:val="en-US"/>
        </w:rPr>
      </w:r>
      <w:r w:rsidR="00BF33C3">
        <w:rPr>
          <w:u w:val="single"/>
          <w:lang w:val="en-US"/>
        </w:rPr>
        <w:fldChar w:fldCharType="separate"/>
      </w:r>
      <w:r w:rsidR="00BF33C3">
        <w:rPr>
          <w:u w:val="single"/>
          <w:lang w:val="en-US"/>
        </w:rPr>
        <w:t>8.1(B)</w:t>
      </w:r>
      <w:r w:rsidR="00BF33C3">
        <w:rPr>
          <w:u w:val="single"/>
          <w:lang w:val="en-US"/>
        </w:rPr>
        <w:fldChar w:fldCharType="end"/>
      </w:r>
      <w:r>
        <w:rPr>
          <w:lang w:val="en-US"/>
        </w:rPr>
        <w:t>.</w:t>
      </w:r>
    </w:p>
    <w:p w14:paraId="233B0874" w14:textId="65ADC6CB" w:rsidR="00B63F33" w:rsidRPr="00264A41" w:rsidRDefault="00B63F33">
      <w:pPr>
        <w:pStyle w:val="BodyTextFirstIndent"/>
        <w:ind w:right="0"/>
      </w:pPr>
      <w:r>
        <w:t>“</w:t>
      </w:r>
      <w:r>
        <w:rPr>
          <w:u w:val="single"/>
        </w:rPr>
        <w:t>Good Utility Practices</w:t>
      </w:r>
      <w:r>
        <w:t>” means the practices, methods, standards and acts engaged in or approved by a significant portion of the applicable segment of the electric power generation industry pertaining to facilities of the type, similar size and location to the Facility that, at a particular time, in the exercise of Commercially Reasonable judgment, in light of the facts that are known (or reasonably should have been known) at the time a decision was made, would have been expected to accomplish the desired result in a manner consistent with Applicable Law, Permits, codes, standards, equipment manufacturer’s recommendations, reliability, safety, environmental protection, economy, and expedition.  Good Utility Practices is not limited to the optimum practice, method, standard or act to the exclusion of all others, but rather to those practices, methods, standards and acts generally acceptable or approved by a significant portion of the applicable segment of the electric power generation industry in the relevant region, during the relevant period.</w:t>
      </w:r>
      <w:r>
        <w:rPr>
          <w:lang w:val="en-US"/>
        </w:rPr>
        <w:t xml:space="preserve"> </w:t>
      </w:r>
      <w:r w:rsidRPr="00264A41">
        <w:rPr>
          <w:lang w:val="en-US"/>
        </w:rPr>
        <w:t>[</w:t>
      </w:r>
      <w:r w:rsidRPr="00264A41">
        <w:rPr>
          <w:highlight w:val="yellow"/>
          <w:lang w:val="en-US"/>
        </w:rPr>
        <w:t>Wind Only</w:t>
      </w:r>
      <w:r w:rsidRPr="00264A41">
        <w:rPr>
          <w:lang w:val="en-US"/>
        </w:rPr>
        <w:t>: “Good Utility Practices include adherence to the United States Fish and Wildlife Services’ Land Based Wind Energy Guidelines] [</w:t>
      </w:r>
      <w:r w:rsidRPr="00264A41">
        <w:rPr>
          <w:highlight w:val="yellow"/>
          <w:lang w:val="en-US"/>
        </w:rPr>
        <w:t>Solar Only</w:t>
      </w:r>
      <w:r w:rsidRPr="00264A41">
        <w:rPr>
          <w:lang w:val="en-US"/>
        </w:rPr>
        <w:t>: Good Utility Practices include adherence to any applicable current or future federal or state best management practices or guidelines for solar energy development.</w:t>
      </w:r>
    </w:p>
    <w:p w14:paraId="2AC01DE9" w14:textId="77777777" w:rsidR="00B63F33" w:rsidRPr="007C5A7E" w:rsidRDefault="00B63F33">
      <w:pPr>
        <w:pStyle w:val="BodyTextFirstIndent"/>
        <w:ind w:right="0"/>
        <w:rPr>
          <w:color w:val="000000" w:themeColor="text1"/>
          <w:lang w:val="en-US"/>
        </w:rPr>
      </w:pPr>
      <w:r>
        <w:t>“</w:t>
      </w:r>
      <w:r>
        <w:rPr>
          <w:u w:val="single"/>
        </w:rPr>
        <w:t>Governmental Authority</w:t>
      </w:r>
      <w:r>
        <w:t>” means any federal, state, local or municipal governmental body; any governmental, quasi-governmental, regulatory or administrative agency, commission, body or other authority exercising or entitled to exercise any administrative, executive, judicial, legislative, policy, regulatory or taxing authority or power; and/or any court or governmental tribunal.  By way of example only, “Governmental Authorities” include</w:t>
      </w:r>
      <w:r>
        <w:rPr>
          <w:lang w:val="en-US"/>
        </w:rPr>
        <w:t xml:space="preserve">, but are not limited to </w:t>
      </w:r>
      <w:r>
        <w:t xml:space="preserve"> NERC, </w:t>
      </w:r>
      <w:r>
        <w:rPr>
          <w:lang w:val="en-US"/>
        </w:rPr>
        <w:t xml:space="preserve">the </w:t>
      </w:r>
      <w:r>
        <w:t xml:space="preserve">ERO, </w:t>
      </w:r>
      <w:r>
        <w:rPr>
          <w:lang w:val="en-US"/>
        </w:rPr>
        <w:t xml:space="preserve">the Market Operator (if any), </w:t>
      </w:r>
      <w:r>
        <w:t>an applicable PUC, the Transmission Authority</w:t>
      </w:r>
      <w:r>
        <w:rPr>
          <w:lang w:val="en-US"/>
        </w:rPr>
        <w:t xml:space="preserve"> and</w:t>
      </w:r>
      <w:r>
        <w:t xml:space="preserve"> FERC, and </w:t>
      </w:r>
      <w:r>
        <w:lastRenderedPageBreak/>
        <w:t>successor organizations.</w:t>
      </w:r>
      <w:r>
        <w:rPr>
          <w:lang w:val="en-US"/>
        </w:rPr>
        <w:t xml:space="preserve">  For the avoidance of doubt, Company is not a Governmental Authority for purposes of this PPA.</w:t>
      </w:r>
    </w:p>
    <w:p w14:paraId="08EC6A61" w14:textId="4A0FCDF1" w:rsidR="00EE6C38" w:rsidRPr="007C5A7E" w:rsidRDefault="00EE6C38" w:rsidP="00EE6C38">
      <w:pPr>
        <w:pStyle w:val="BodyTextFirstIndent"/>
        <w:ind w:right="0"/>
        <w:rPr>
          <w:color w:val="000000" w:themeColor="text1"/>
          <w:lang w:val="en-US"/>
        </w:rPr>
      </w:pPr>
      <w:r>
        <w:rPr>
          <w:color w:val="000000" w:themeColor="text1"/>
          <w:u w:val="single"/>
          <w:lang w:val="en-US"/>
        </w:rPr>
        <w:t>“GSU Transformer</w:t>
      </w:r>
      <w:r>
        <w:rPr>
          <w:color w:val="000000" w:themeColor="text1"/>
          <w:lang w:val="en-US"/>
        </w:rPr>
        <w:t>” means a power transformer that is contained within the Facility and that increases the AC voltage of the electrical energy produced by the Facility to the AC voltage at which such electrical energy is delivered to Company at the Interconnection Point.</w:t>
      </w:r>
    </w:p>
    <w:p w14:paraId="70B9AFF3" w14:textId="14774ED5" w:rsidR="00EE6C38" w:rsidRPr="007C5A7E" w:rsidRDefault="00EE6C38" w:rsidP="00EE6C38">
      <w:pPr>
        <w:pStyle w:val="BodyTextFirstIndent"/>
        <w:ind w:right="0"/>
        <w:rPr>
          <w:color w:val="000000" w:themeColor="text1"/>
        </w:rPr>
      </w:pPr>
      <w:r>
        <w:rPr>
          <w:color w:val="000000" w:themeColor="text1"/>
          <w:u w:val="single"/>
          <w:lang w:val="en-US"/>
        </w:rPr>
        <w:t>“GSU Transformer Failure</w:t>
      </w:r>
      <w:r>
        <w:rPr>
          <w:color w:val="000000" w:themeColor="text1"/>
          <w:lang w:val="en-US"/>
        </w:rPr>
        <w:t xml:space="preserve">” means the failure of a GSU Transformer; </w:t>
      </w:r>
      <w:r>
        <w:rPr>
          <w:i/>
          <w:iCs/>
          <w:color w:val="000000" w:themeColor="text1"/>
          <w:lang w:val="en-US"/>
        </w:rPr>
        <w:t>provided, however,</w:t>
      </w:r>
      <w:r>
        <w:rPr>
          <w:color w:val="000000" w:themeColor="text1"/>
          <w:lang w:val="en-US"/>
        </w:rPr>
        <w:t xml:space="preserve"> that such failure requires the replacement or substantial remanufacturing of such GSU Transformer to return to service (i) the Facility in the event the Facility contains one GSU Transformer or (ii) the portion of the Facility served by such failed GSU Transformer in the event the Facility contains more than one GSU Transformer, </w:t>
      </w:r>
      <w:r>
        <w:rPr>
          <w:i/>
          <w:iCs/>
          <w:color w:val="000000" w:themeColor="text1"/>
          <w:lang w:val="en-US"/>
        </w:rPr>
        <w:t>provided further, however</w:t>
      </w:r>
      <w:r>
        <w:rPr>
          <w:color w:val="000000" w:themeColor="text1"/>
          <w:lang w:val="en-US"/>
        </w:rPr>
        <w:t>, that such GSU Transformer Failure shall not  exceed one hundred eighty (180) consecutive Days in duration. Seller may only claim one (1) GSU Transformer Failure during the Term.</w:t>
      </w:r>
    </w:p>
    <w:p w14:paraId="27485055" w14:textId="504F1062" w:rsidR="00B63F33" w:rsidRDefault="00B63F33">
      <w:pPr>
        <w:pStyle w:val="BodyTextFirstIndent"/>
        <w:ind w:right="0"/>
        <w:rPr>
          <w:lang w:val="en-US"/>
        </w:rPr>
      </w:pPr>
      <w:r>
        <w:rPr>
          <w:color w:val="000000" w:themeColor="text1"/>
          <w:lang w:val="en-US"/>
        </w:rPr>
        <w:t>“</w:t>
      </w:r>
      <w:r>
        <w:rPr>
          <w:color w:val="000000" w:themeColor="text1"/>
          <w:u w:val="single"/>
          <w:lang w:val="en-US"/>
        </w:rPr>
        <w:t>Guarantor</w:t>
      </w:r>
      <w:r>
        <w:rPr>
          <w:color w:val="000000" w:themeColor="text1"/>
          <w:lang w:val="en-US"/>
        </w:rPr>
        <w:t xml:space="preserve">” shall have the meaning </w:t>
      </w:r>
      <w:proofErr w:type="gramStart"/>
      <w:r>
        <w:rPr>
          <w:color w:val="000000" w:themeColor="text1"/>
          <w:lang w:val="en-US"/>
        </w:rPr>
        <w:t>set forth in</w:t>
      </w:r>
      <w:proofErr w:type="gramEnd"/>
      <w:r>
        <w:rPr>
          <w:color w:val="000000" w:themeColor="text1"/>
          <w:lang w:val="en-US"/>
        </w:rPr>
        <w:t xml:space="preserve"> </w:t>
      </w:r>
      <w:r>
        <w:rPr>
          <w:u w:val="single"/>
          <w:lang w:val="en-US"/>
        </w:rPr>
        <w:t xml:space="preserve">Section </w:t>
      </w:r>
      <w:r w:rsidR="00C4713A">
        <w:rPr>
          <w:u w:val="single"/>
          <w:lang w:val="en-US"/>
        </w:rPr>
        <w:fldChar w:fldCharType="begin"/>
      </w:r>
      <w:r w:rsidR="00C4713A">
        <w:rPr>
          <w:u w:val="single"/>
          <w:lang w:val="en-US"/>
        </w:rPr>
        <w:instrText xml:space="preserve"> REF _Ref149810458 \w \h </w:instrText>
      </w:r>
      <w:r w:rsidR="00C4713A">
        <w:rPr>
          <w:u w:val="single"/>
          <w:lang w:val="en-US"/>
        </w:rPr>
      </w:r>
      <w:r w:rsidR="00C4713A">
        <w:rPr>
          <w:u w:val="single"/>
          <w:lang w:val="en-US"/>
        </w:rPr>
        <w:fldChar w:fldCharType="separate"/>
      </w:r>
      <w:r w:rsidR="00C4713A">
        <w:rPr>
          <w:u w:val="single"/>
          <w:lang w:val="en-US"/>
        </w:rPr>
        <w:t>11.3(C)</w:t>
      </w:r>
      <w:r w:rsidR="00C4713A">
        <w:rPr>
          <w:u w:val="single"/>
          <w:lang w:val="en-US"/>
        </w:rPr>
        <w:fldChar w:fldCharType="end"/>
      </w:r>
      <w:r>
        <w:rPr>
          <w:lang w:val="en-US"/>
        </w:rPr>
        <w:t>.</w:t>
      </w:r>
    </w:p>
    <w:p w14:paraId="0B6127E4" w14:textId="6A8870FE" w:rsidR="00552C7A" w:rsidRDefault="00B23FF8">
      <w:pPr>
        <w:pStyle w:val="BodyTextFirstIndent"/>
        <w:ind w:right="0"/>
        <w:rPr>
          <w:lang w:val="en-US"/>
        </w:rPr>
      </w:pPr>
      <w:r>
        <w:rPr>
          <w:lang w:val="en-US"/>
        </w:rPr>
        <w:t>“</w:t>
      </w:r>
      <w:r>
        <w:rPr>
          <w:u w:val="single"/>
          <w:lang w:val="en-US"/>
        </w:rPr>
        <w:t>Hazardous Materials</w:t>
      </w:r>
      <w:r>
        <w:rPr>
          <w:lang w:val="en-US"/>
        </w:rPr>
        <w:t xml:space="preserve">” shall have </w:t>
      </w:r>
      <w:bookmarkStart w:id="713" w:name="_cp_change_195"/>
      <w:r w:rsidRPr="00957850">
        <w:rPr>
          <w:color w:val="000000" w:themeColor="text1"/>
          <w:lang w:val="en-US"/>
        </w:rPr>
        <w:t>the</w:t>
      </w:r>
      <w:r w:rsidRPr="00957850">
        <w:rPr>
          <w:color w:val="000000" w:themeColor="text1"/>
          <w:u w:val="double" w:color="0000FF"/>
          <w:lang w:val="en-US"/>
        </w:rPr>
        <w:t xml:space="preserve"> </w:t>
      </w:r>
      <w:bookmarkEnd w:id="713"/>
      <w:r>
        <w:rPr>
          <w:lang w:val="en-US"/>
        </w:rPr>
        <w:t xml:space="preserve">meaning </w:t>
      </w:r>
      <w:proofErr w:type="gramStart"/>
      <w:r>
        <w:rPr>
          <w:lang w:val="en-US"/>
        </w:rPr>
        <w:t>set forth in</w:t>
      </w:r>
      <w:proofErr w:type="gramEnd"/>
      <w:r>
        <w:rPr>
          <w:lang w:val="en-US"/>
        </w:rPr>
        <w:t xml:space="preserve"> </w:t>
      </w:r>
      <w:r w:rsidRPr="005357FF">
        <w:rPr>
          <w:u w:val="single"/>
          <w:lang w:val="en-US"/>
        </w:rPr>
        <w:t xml:space="preserve">Section </w:t>
      </w:r>
      <w:r w:rsidR="00C4713A" w:rsidRPr="005357FF">
        <w:rPr>
          <w:u w:val="single"/>
          <w:lang w:val="en-US"/>
        </w:rPr>
        <w:fldChar w:fldCharType="begin"/>
      </w:r>
      <w:r w:rsidR="00C4713A" w:rsidRPr="005357FF">
        <w:rPr>
          <w:u w:val="single"/>
          <w:lang w:val="en-US"/>
        </w:rPr>
        <w:instrText xml:space="preserve"> REF _Ref149809910 \w \h </w:instrText>
      </w:r>
      <w:r w:rsidR="00C4713A">
        <w:rPr>
          <w:u w:val="single"/>
          <w:lang w:val="en-US"/>
        </w:rPr>
        <w:instrText xml:space="preserve"> \* MERGEFORMAT </w:instrText>
      </w:r>
      <w:r w:rsidR="00C4713A" w:rsidRPr="005357FF">
        <w:rPr>
          <w:u w:val="single"/>
          <w:lang w:val="en-US"/>
        </w:rPr>
      </w:r>
      <w:r w:rsidR="00C4713A" w:rsidRPr="005357FF">
        <w:rPr>
          <w:u w:val="single"/>
          <w:lang w:val="en-US"/>
        </w:rPr>
        <w:fldChar w:fldCharType="separate"/>
      </w:r>
      <w:r w:rsidR="00C4713A" w:rsidRPr="005357FF">
        <w:rPr>
          <w:u w:val="single"/>
          <w:lang w:val="en-US"/>
        </w:rPr>
        <w:t>4.2(C)</w:t>
      </w:r>
      <w:r w:rsidR="00C4713A" w:rsidRPr="005357FF">
        <w:rPr>
          <w:u w:val="single"/>
          <w:lang w:val="en-US"/>
        </w:rPr>
        <w:fldChar w:fldCharType="end"/>
      </w:r>
      <w:r>
        <w:rPr>
          <w:lang w:val="en-US"/>
        </w:rPr>
        <w:t>.</w:t>
      </w:r>
    </w:p>
    <w:p w14:paraId="1C3E9ACF" w14:textId="0F63AC8C" w:rsidR="00B63F33" w:rsidRDefault="00B63F33">
      <w:pPr>
        <w:pStyle w:val="BodyTextFirstIndent"/>
        <w:ind w:right="0"/>
        <w:rPr>
          <w:lang w:val="en-US"/>
        </w:rPr>
      </w:pPr>
      <w:r>
        <w:rPr>
          <w:lang w:val="en-US"/>
        </w:rPr>
        <w:t>“</w:t>
      </w:r>
      <w:r>
        <w:rPr>
          <w:u w:val="single"/>
          <w:lang w:val="en-US"/>
        </w:rPr>
        <w:t>House Power</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C4713A">
        <w:rPr>
          <w:u w:val="single"/>
          <w:lang w:val="en-US"/>
        </w:rPr>
        <w:fldChar w:fldCharType="begin"/>
      </w:r>
      <w:r w:rsidR="00C4713A">
        <w:rPr>
          <w:u w:val="single"/>
          <w:lang w:val="en-US"/>
        </w:rPr>
        <w:instrText xml:space="preserve"> REF _Ref149810510 \w \h </w:instrText>
      </w:r>
      <w:r w:rsidR="00C4713A">
        <w:rPr>
          <w:u w:val="single"/>
          <w:lang w:val="en-US"/>
        </w:rPr>
      </w:r>
      <w:r w:rsidR="00C4713A">
        <w:rPr>
          <w:u w:val="single"/>
          <w:lang w:val="en-US"/>
        </w:rPr>
        <w:fldChar w:fldCharType="separate"/>
      </w:r>
      <w:r w:rsidR="00C4713A">
        <w:rPr>
          <w:u w:val="single"/>
          <w:lang w:val="en-US"/>
        </w:rPr>
        <w:t>1.2(B)</w:t>
      </w:r>
      <w:r w:rsidR="00C4713A">
        <w:rPr>
          <w:u w:val="single"/>
          <w:lang w:val="en-US"/>
        </w:rPr>
        <w:fldChar w:fldCharType="end"/>
      </w:r>
      <w:r>
        <w:rPr>
          <w:lang w:val="en-US"/>
        </w:rPr>
        <w:t>.</w:t>
      </w:r>
    </w:p>
    <w:p w14:paraId="28C5A715" w14:textId="781CB7BE" w:rsidR="00B63F33" w:rsidRDefault="00B63F33">
      <w:pPr>
        <w:pStyle w:val="BodyTextFirstIndent"/>
        <w:ind w:right="0"/>
      </w:pPr>
      <w:r>
        <w:rPr>
          <w:lang w:val="en-US"/>
        </w:rPr>
        <w:t>“</w:t>
      </w:r>
      <w:r>
        <w:rPr>
          <w:u w:val="single"/>
          <w:lang w:val="en-US"/>
        </w:rPr>
        <w:t>Indemnified Party</w:t>
      </w:r>
      <w:r>
        <w:rPr>
          <w:lang w:val="en-US"/>
        </w:rPr>
        <w:t xml:space="preserve">” </w:t>
      </w:r>
      <w:r>
        <w:t xml:space="preserve">shall have the meaning </w:t>
      </w:r>
      <w:proofErr w:type="gramStart"/>
      <w:r>
        <w:t>set forth in</w:t>
      </w:r>
      <w:proofErr w:type="gramEnd"/>
      <w:r>
        <w:t xml:space="preserve"> </w:t>
      </w:r>
      <w:r>
        <w:rPr>
          <w:u w:val="single"/>
          <w:lang w:val="en-US"/>
        </w:rPr>
        <w:t xml:space="preserve">Section </w:t>
      </w:r>
      <w:r w:rsidR="00C4713A">
        <w:rPr>
          <w:u w:val="single"/>
        </w:rPr>
        <w:fldChar w:fldCharType="begin"/>
      </w:r>
      <w:r w:rsidR="00C4713A">
        <w:rPr>
          <w:u w:val="single"/>
          <w:lang w:val="en-US"/>
        </w:rPr>
        <w:instrText xml:space="preserve"> REF _Ref149810520 \w \h </w:instrText>
      </w:r>
      <w:r w:rsidR="00C4713A">
        <w:rPr>
          <w:u w:val="single"/>
        </w:rPr>
      </w:r>
      <w:r w:rsidR="00C4713A">
        <w:rPr>
          <w:u w:val="single"/>
        </w:rPr>
        <w:fldChar w:fldCharType="separate"/>
      </w:r>
      <w:r w:rsidR="00C4713A">
        <w:rPr>
          <w:u w:val="single"/>
          <w:lang w:val="en-US"/>
        </w:rPr>
        <w:t>17.1</w:t>
      </w:r>
      <w:r w:rsidR="00C4713A">
        <w:rPr>
          <w:u w:val="single"/>
        </w:rPr>
        <w:fldChar w:fldCharType="end"/>
      </w:r>
      <w:r>
        <w:t>.</w:t>
      </w:r>
    </w:p>
    <w:p w14:paraId="41A786BA" w14:textId="2C58A018" w:rsidR="00B63F33" w:rsidRDefault="00B63F33">
      <w:pPr>
        <w:pStyle w:val="BodyTextFirstIndent"/>
        <w:ind w:right="0"/>
      </w:pPr>
      <w:r>
        <w:rPr>
          <w:lang w:val="en-US"/>
        </w:rPr>
        <w:t>“</w:t>
      </w:r>
      <w:r>
        <w:rPr>
          <w:u w:val="single"/>
          <w:lang w:val="en-US"/>
        </w:rPr>
        <w:t>Indemnifying Party</w:t>
      </w:r>
      <w:r>
        <w:rPr>
          <w:lang w:val="en-US"/>
        </w:rPr>
        <w:t xml:space="preserve">” </w:t>
      </w:r>
      <w:r>
        <w:t xml:space="preserve">shall have the meaning </w:t>
      </w:r>
      <w:proofErr w:type="gramStart"/>
      <w:r>
        <w:t>set forth in</w:t>
      </w:r>
      <w:proofErr w:type="gramEnd"/>
      <w:r>
        <w:t xml:space="preserve"> </w:t>
      </w:r>
      <w:r>
        <w:rPr>
          <w:u w:val="single"/>
          <w:lang w:val="en-US"/>
        </w:rPr>
        <w:t xml:space="preserve">Section </w:t>
      </w:r>
      <w:r w:rsidR="00C4713A">
        <w:rPr>
          <w:u w:val="single"/>
        </w:rPr>
        <w:fldChar w:fldCharType="begin"/>
      </w:r>
      <w:r w:rsidR="00C4713A">
        <w:rPr>
          <w:u w:val="single"/>
          <w:lang w:val="en-US"/>
        </w:rPr>
        <w:instrText xml:space="preserve"> REF _Ref149810523 \w \h </w:instrText>
      </w:r>
      <w:r w:rsidR="00C4713A">
        <w:rPr>
          <w:u w:val="single"/>
        </w:rPr>
      </w:r>
      <w:r w:rsidR="00C4713A">
        <w:rPr>
          <w:u w:val="single"/>
        </w:rPr>
        <w:fldChar w:fldCharType="separate"/>
      </w:r>
      <w:r w:rsidR="00C4713A">
        <w:rPr>
          <w:u w:val="single"/>
          <w:lang w:val="en-US"/>
        </w:rPr>
        <w:t>17.1</w:t>
      </w:r>
      <w:r w:rsidR="00C4713A">
        <w:rPr>
          <w:u w:val="single"/>
        </w:rPr>
        <w:fldChar w:fldCharType="end"/>
      </w:r>
      <w:r>
        <w:t>.</w:t>
      </w:r>
    </w:p>
    <w:p w14:paraId="39A8AF3F" w14:textId="7F36F4A7" w:rsidR="00B63F33" w:rsidRPr="00D0436B" w:rsidRDefault="00B63F33">
      <w:pPr>
        <w:pStyle w:val="BodyTextFirstIndent"/>
        <w:ind w:right="0"/>
        <w:rPr>
          <w:lang w:val="en-US"/>
        </w:rPr>
      </w:pPr>
      <w:r>
        <w:t>“</w:t>
      </w:r>
      <w:r>
        <w:rPr>
          <w:u w:val="single"/>
        </w:rPr>
        <w:t>Interconnection Agreement</w:t>
      </w:r>
      <w:r>
        <w:t>” means the separate contract for interconnection of the Facility to the Transmission Authority’s System, as such agreement may be amended from time to time.  For purposes of this PPA, the Interconnection Agreement shall be interpreted to include any third party facility construction agreement or other agreement required by the Transmission Authority to interconnect the Facility in accordance with the Transmission Tariff</w:t>
      </w:r>
      <w:r w:rsidRPr="00D0436B">
        <w:t>.  For the avoidance of doubt, “Interconnection Agreement” excludes any temporary or provisional interconnection agreement or any agreement where the Transmission Provider may limit the operational output of the Facility.</w:t>
      </w:r>
    </w:p>
    <w:p w14:paraId="1757DF3A" w14:textId="433009BC" w:rsidR="00B63F33" w:rsidRPr="00D0436B" w:rsidRDefault="00B63F33">
      <w:pPr>
        <w:pStyle w:val="BodyTextFirstIndent"/>
        <w:ind w:right="0"/>
      </w:pPr>
      <w:r w:rsidRPr="00D0436B">
        <w:t>“</w:t>
      </w:r>
      <w:r w:rsidRPr="00D0436B">
        <w:rPr>
          <w:u w:val="single"/>
        </w:rPr>
        <w:t>Interconnection Facilities</w:t>
      </w:r>
      <w:r w:rsidRPr="00D0436B">
        <w:t xml:space="preserve">” means those facilities designated in the Interconnection Agreement for the direct purpose of interconnecting the Facility at the Interconnection Point, along with any easements, rights of way, surface use agreements and other interests or rights in real estate reasonably necessary for the construction, operation and maintenance of such facilities, whether owned by Seller, the Transmission Authority or another entity.  This equipment is conceptually depicted in </w:t>
      </w:r>
      <w:r w:rsidR="009076E2" w:rsidRPr="00D0436B">
        <w:rPr>
          <w:u w:val="single"/>
        </w:rPr>
        <w:t xml:space="preserve">Exhibit C - Facility Description And Site Maps </w:t>
      </w:r>
      <w:r w:rsidRPr="00D0436B">
        <w:t>to this PPA.</w:t>
      </w:r>
    </w:p>
    <w:p w14:paraId="211B77A8" w14:textId="77777777" w:rsidR="00B63F33" w:rsidRPr="00D0436B" w:rsidRDefault="00B63F33">
      <w:pPr>
        <w:pStyle w:val="BodyTextFirstIndent"/>
        <w:ind w:right="0"/>
      </w:pPr>
      <w:r w:rsidRPr="00D0436B">
        <w:t>“</w:t>
      </w:r>
      <w:r w:rsidRPr="00D0436B">
        <w:rPr>
          <w:u w:val="single"/>
        </w:rPr>
        <w:t>Interconnection Point</w:t>
      </w:r>
      <w:r w:rsidRPr="00D0436B">
        <w:t xml:space="preserve">” means the physical point within the operational authority of the Transmission Authority as specified in the Interconnection Agreement as project </w:t>
      </w:r>
      <w:r w:rsidRPr="00D0436B">
        <w:rPr>
          <w:i/>
          <w:highlight w:val="yellow"/>
        </w:rPr>
        <w:t>[_________],</w:t>
      </w:r>
      <w:r w:rsidRPr="00D0436B">
        <w:t xml:space="preserve"> at which electrical interconnection is made between the Facility and the </w:t>
      </w:r>
      <w:r w:rsidRPr="00D0436B">
        <w:lastRenderedPageBreak/>
        <w:t xml:space="preserve">Transmission Authority’s System in accordance with the Transmission Tariff and the Interconnection Agreement.  </w:t>
      </w:r>
    </w:p>
    <w:p w14:paraId="35CA3BBA" w14:textId="66C6F0A7" w:rsidR="00B63F33" w:rsidRPr="00D0436B" w:rsidRDefault="00B63F33">
      <w:pPr>
        <w:pStyle w:val="BodyTextFirstIndent"/>
        <w:ind w:right="0"/>
        <w:rPr>
          <w:rFonts w:cs="Arial"/>
        </w:rPr>
      </w:pPr>
      <w:r w:rsidRPr="00D0436B">
        <w:rPr>
          <w:rFonts w:cs="Arial"/>
        </w:rPr>
        <w:t>“</w:t>
      </w:r>
      <w:r w:rsidRPr="00D0436B">
        <w:rPr>
          <w:rFonts w:cs="Arial"/>
          <w:u w:val="single"/>
        </w:rPr>
        <w:t>Investment Grade</w:t>
      </w:r>
      <w:r w:rsidRPr="00D0436B">
        <w:rPr>
          <w:rFonts w:cs="Arial"/>
        </w:rPr>
        <w:t xml:space="preserve">” means a Credit Rating of both (a) Baa3 or higher by </w:t>
      </w:r>
      <w:proofErr w:type="spellStart"/>
      <w:r w:rsidRPr="00D0436B">
        <w:rPr>
          <w:rFonts w:cs="Arial"/>
        </w:rPr>
        <w:t>Moodys</w:t>
      </w:r>
      <w:proofErr w:type="spellEnd"/>
      <w:r w:rsidRPr="00D0436B">
        <w:rPr>
          <w:rFonts w:cs="Arial"/>
        </w:rPr>
        <w:t>, and (b) BBB- or higher by S</w:t>
      </w:r>
      <w:r w:rsidRPr="00D0436B">
        <w:rPr>
          <w:rFonts w:cs="Arial"/>
          <w:lang w:val="en-US"/>
        </w:rPr>
        <w:t xml:space="preserve">tandard &amp; </w:t>
      </w:r>
      <w:proofErr w:type="spellStart"/>
      <w:r w:rsidRPr="00D0436B">
        <w:rPr>
          <w:rFonts w:cs="Arial"/>
          <w:lang w:val="en-US"/>
        </w:rPr>
        <w:t>Poors</w:t>
      </w:r>
      <w:proofErr w:type="spellEnd"/>
      <w:r w:rsidRPr="00D0436B">
        <w:rPr>
          <w:rFonts w:cs="Arial"/>
        </w:rPr>
        <w:t xml:space="preserve">.  </w:t>
      </w:r>
    </w:p>
    <w:p w14:paraId="2A62244A" w14:textId="39E153A0" w:rsidR="00B63F33" w:rsidRPr="00D0436B" w:rsidRDefault="00B63F33">
      <w:pPr>
        <w:pStyle w:val="BodyTextFirstIndent"/>
        <w:ind w:right="0"/>
        <w:rPr>
          <w:rFonts w:cs="Arial"/>
          <w:lang w:val="en-US"/>
        </w:rPr>
      </w:pPr>
      <w:r w:rsidRPr="00D0436B">
        <w:rPr>
          <w:lang w:val="en-US"/>
        </w:rPr>
        <w:t>“</w:t>
      </w:r>
      <w:r w:rsidRPr="00D0436B">
        <w:rPr>
          <w:u w:val="single"/>
          <w:lang w:val="en-US"/>
        </w:rPr>
        <w:t>Issuer</w:t>
      </w:r>
      <w:r w:rsidRPr="00D0436B">
        <w:rPr>
          <w:lang w:val="en-US"/>
        </w:rPr>
        <w:t xml:space="preserve">” shall have the meaning </w:t>
      </w:r>
      <w:proofErr w:type="gramStart"/>
      <w:r w:rsidRPr="00D0436B">
        <w:rPr>
          <w:lang w:val="en-US"/>
        </w:rPr>
        <w:t>set forth in</w:t>
      </w:r>
      <w:proofErr w:type="gramEnd"/>
      <w:r w:rsidRPr="00D0436B">
        <w:rPr>
          <w:lang w:val="en-US"/>
        </w:rPr>
        <w:t xml:space="preserve"> </w:t>
      </w:r>
      <w:r w:rsidRPr="00D0436B">
        <w:rPr>
          <w:u w:val="single"/>
          <w:lang w:val="en-US"/>
        </w:rPr>
        <w:t xml:space="preserve">Section </w:t>
      </w:r>
      <w:r w:rsidR="00C4713A" w:rsidRPr="00D0436B">
        <w:rPr>
          <w:u w:val="single"/>
          <w:lang w:val="en-US"/>
        </w:rPr>
        <w:fldChar w:fldCharType="begin"/>
      </w:r>
      <w:r w:rsidR="00C4713A" w:rsidRPr="00D0436B">
        <w:rPr>
          <w:u w:val="single"/>
          <w:lang w:val="en-US"/>
        </w:rPr>
        <w:instrText xml:space="preserve"> REF _Ref149810561 \w \h </w:instrText>
      </w:r>
      <w:r w:rsidR="00C4713A" w:rsidRPr="00D0436B">
        <w:rPr>
          <w:u w:val="single"/>
          <w:lang w:val="en-US"/>
        </w:rPr>
      </w:r>
      <w:r w:rsidR="00C4713A" w:rsidRPr="00D0436B">
        <w:rPr>
          <w:u w:val="single"/>
          <w:lang w:val="en-US"/>
        </w:rPr>
        <w:fldChar w:fldCharType="separate"/>
      </w:r>
      <w:r w:rsidR="00C4713A" w:rsidRPr="00D0436B">
        <w:rPr>
          <w:u w:val="single"/>
          <w:lang w:val="en-US"/>
        </w:rPr>
        <w:t>11.3(A)</w:t>
      </w:r>
      <w:r w:rsidR="00C4713A" w:rsidRPr="00D0436B">
        <w:rPr>
          <w:u w:val="single"/>
          <w:lang w:val="en-US"/>
        </w:rPr>
        <w:fldChar w:fldCharType="end"/>
      </w:r>
      <w:r w:rsidRPr="00D0436B">
        <w:rPr>
          <w:lang w:val="en-US"/>
        </w:rPr>
        <w:t>.</w:t>
      </w:r>
    </w:p>
    <w:p w14:paraId="1216FCEF" w14:textId="29530D0F" w:rsidR="00B63F33" w:rsidRDefault="003B4AF7">
      <w:pPr>
        <w:pStyle w:val="BodyTextFirstIndent"/>
        <w:ind w:right="0"/>
        <w:rPr>
          <w:b/>
          <w:i/>
          <w:color w:val="FF0000"/>
        </w:rPr>
      </w:pPr>
      <w:r>
        <w:rPr>
          <w:rFonts w:cs="Arial"/>
          <w:lang w:val="en-US"/>
        </w:rPr>
        <w:t>[</w:t>
      </w:r>
      <w:r w:rsidRPr="00B139A0">
        <w:rPr>
          <w:rFonts w:cs="Arial"/>
          <w:sz w:val="22"/>
          <w:szCs w:val="22"/>
          <w:highlight w:val="yellow"/>
          <w:lang w:val="en-US"/>
        </w:rPr>
        <w:t>if applicable</w:t>
      </w:r>
      <w:r>
        <w:rPr>
          <w:rFonts w:cs="Arial"/>
          <w:lang w:val="en-US"/>
        </w:rPr>
        <w:t xml:space="preserve">] </w:t>
      </w:r>
      <w:r w:rsidR="00B63F33" w:rsidRPr="00D0436B">
        <w:rPr>
          <w:rFonts w:cs="Arial"/>
        </w:rPr>
        <w:t>“</w:t>
      </w:r>
      <w:r w:rsidR="00B63F33" w:rsidRPr="00D0436B">
        <w:rPr>
          <w:rFonts w:cs="Arial"/>
          <w:u w:val="single"/>
        </w:rPr>
        <w:t>ITCs</w:t>
      </w:r>
      <w:r w:rsidR="00B63F33" w:rsidRPr="00D0436B">
        <w:rPr>
          <w:rFonts w:cs="Arial"/>
        </w:rPr>
        <w:t xml:space="preserve">” </w:t>
      </w:r>
      <w:r w:rsidR="00B63F33" w:rsidRPr="00D0436B">
        <w:t>means Investment Tax Credits applicable to electricity produced from solar energy resources pursuant to 26 U.S.C. §4</w:t>
      </w:r>
      <w:r w:rsidR="00B63F33" w:rsidRPr="00D0436B">
        <w:rPr>
          <w:lang w:val="en-US"/>
        </w:rPr>
        <w:t>8</w:t>
      </w:r>
      <w:r w:rsidR="00B63F33" w:rsidRPr="00D0436B">
        <w:t xml:space="preserve"> as in effect as of the </w:t>
      </w:r>
      <w:r w:rsidR="00B63F33" w:rsidRPr="00D0436B">
        <w:rPr>
          <w:lang w:val="en-US"/>
        </w:rPr>
        <w:t>Effective Date</w:t>
      </w:r>
      <w:r w:rsidR="00B63F33" w:rsidRPr="00D0436B">
        <w:t xml:space="preserve"> and as administered and interpreted under Applicable Law as of the </w:t>
      </w:r>
      <w:r w:rsidR="00B63F33">
        <w:rPr>
          <w:lang w:val="en-US"/>
        </w:rPr>
        <w:t>Effective Date</w:t>
      </w:r>
      <w:r w:rsidR="00B63F33">
        <w:t xml:space="preserve">.  </w:t>
      </w:r>
    </w:p>
    <w:p w14:paraId="16F20C55" w14:textId="6FF46A85" w:rsidR="00B63F33" w:rsidRDefault="003B4AF7">
      <w:pPr>
        <w:pStyle w:val="O-BodyText"/>
        <w:ind w:firstLine="720"/>
        <w:rPr>
          <w:sz w:val="24"/>
          <w:szCs w:val="24"/>
        </w:rPr>
      </w:pPr>
      <w:r>
        <w:rPr>
          <w:rFonts w:cs="Arial"/>
        </w:rPr>
        <w:t>[</w:t>
      </w:r>
      <w:r w:rsidRPr="00B139A0">
        <w:rPr>
          <w:rFonts w:cs="Arial"/>
          <w:sz w:val="22"/>
          <w:szCs w:val="22"/>
          <w:highlight w:val="yellow"/>
        </w:rPr>
        <w:t>if applicable</w:t>
      </w:r>
      <w:r>
        <w:rPr>
          <w:rFonts w:cs="Arial"/>
        </w:rPr>
        <w:t xml:space="preserve">] </w:t>
      </w:r>
      <w:r w:rsidR="00B63F33">
        <w:rPr>
          <w:sz w:val="24"/>
          <w:szCs w:val="24"/>
        </w:rPr>
        <w:t>“</w:t>
      </w:r>
      <w:r w:rsidR="00B63F33">
        <w:rPr>
          <w:sz w:val="24"/>
          <w:szCs w:val="24"/>
          <w:u w:val="single"/>
        </w:rPr>
        <w:t>ITC Period</w:t>
      </w:r>
      <w:r w:rsidR="00B63F33">
        <w:rPr>
          <w:sz w:val="24"/>
          <w:szCs w:val="24"/>
        </w:rPr>
        <w:t>” means the period starting on the Commercial Operation Date and ending on the ____ (__</w:t>
      </w:r>
      <w:proofErr w:type="spellStart"/>
      <w:r w:rsidR="00B63F33">
        <w:rPr>
          <w:sz w:val="24"/>
          <w:szCs w:val="24"/>
          <w:vertAlign w:val="superscript"/>
        </w:rPr>
        <w:t>th</w:t>
      </w:r>
      <w:proofErr w:type="spellEnd"/>
      <w:r w:rsidR="00B63F33">
        <w:rPr>
          <w:sz w:val="24"/>
          <w:szCs w:val="24"/>
        </w:rPr>
        <w:t xml:space="preserve">) anniversary of the Commercial Operation Date. </w:t>
      </w:r>
    </w:p>
    <w:p w14:paraId="5ECFD27F" w14:textId="77777777" w:rsidR="00B63F33" w:rsidRDefault="00B63F33">
      <w:pPr>
        <w:pStyle w:val="O-BodyText"/>
        <w:ind w:firstLine="720"/>
        <w:rPr>
          <w:rFonts w:cs="Arial"/>
          <w:sz w:val="24"/>
          <w:szCs w:val="24"/>
        </w:rPr>
      </w:pPr>
      <w:r>
        <w:rPr>
          <w:rFonts w:cs="Arial"/>
        </w:rPr>
        <w:t xml:space="preserve"> </w:t>
      </w:r>
      <w:r>
        <w:rPr>
          <w:rFonts w:cs="Arial"/>
          <w:sz w:val="24"/>
          <w:szCs w:val="24"/>
        </w:rPr>
        <w:t>“</w:t>
      </w:r>
      <w:r>
        <w:rPr>
          <w:rFonts w:cs="Arial"/>
          <w:sz w:val="24"/>
          <w:szCs w:val="24"/>
          <w:u w:val="single"/>
        </w:rPr>
        <w:t>kW</w:t>
      </w:r>
      <w:r>
        <w:rPr>
          <w:rFonts w:cs="Arial"/>
          <w:sz w:val="24"/>
          <w:szCs w:val="24"/>
        </w:rPr>
        <w:t xml:space="preserve">” </w:t>
      </w:r>
      <w:r>
        <w:rPr>
          <w:sz w:val="24"/>
          <w:szCs w:val="24"/>
        </w:rPr>
        <w:t>means</w:t>
      </w:r>
      <w:r>
        <w:rPr>
          <w:rFonts w:cs="Arial"/>
          <w:sz w:val="24"/>
          <w:szCs w:val="24"/>
        </w:rPr>
        <w:t xml:space="preserve"> kilowatt.</w:t>
      </w:r>
    </w:p>
    <w:p w14:paraId="65CB4620" w14:textId="77777777" w:rsidR="00B63F33" w:rsidRDefault="00B63F33">
      <w:pPr>
        <w:pStyle w:val="O-BodyText"/>
        <w:ind w:firstLine="720"/>
        <w:rPr>
          <w:rFonts w:cs="Arial"/>
          <w:sz w:val="24"/>
          <w:szCs w:val="24"/>
        </w:rPr>
      </w:pPr>
      <w:r>
        <w:rPr>
          <w:rFonts w:cs="Arial"/>
          <w:sz w:val="24"/>
          <w:szCs w:val="24"/>
        </w:rPr>
        <w:t xml:space="preserve"> “</w:t>
      </w:r>
      <w:r>
        <w:rPr>
          <w:rFonts w:cs="Arial"/>
          <w:sz w:val="24"/>
          <w:szCs w:val="24"/>
          <w:u w:val="single"/>
        </w:rPr>
        <w:t>kWh</w:t>
      </w:r>
      <w:r>
        <w:rPr>
          <w:rFonts w:cs="Arial"/>
          <w:sz w:val="24"/>
          <w:szCs w:val="24"/>
        </w:rPr>
        <w:t xml:space="preserve">” means </w:t>
      </w:r>
      <w:r>
        <w:rPr>
          <w:sz w:val="24"/>
          <w:szCs w:val="24"/>
        </w:rPr>
        <w:t>kilowatt</w:t>
      </w:r>
      <w:r>
        <w:rPr>
          <w:rFonts w:cs="Arial"/>
          <w:sz w:val="24"/>
          <w:szCs w:val="24"/>
        </w:rPr>
        <w:t xml:space="preserve"> hour.</w:t>
      </w:r>
    </w:p>
    <w:p w14:paraId="424E1A5C" w14:textId="1452035C" w:rsidR="00B63F33" w:rsidRDefault="00B63F33">
      <w:pPr>
        <w:pStyle w:val="BodyTextFirstIndent"/>
        <w:ind w:right="0"/>
        <w:rPr>
          <w:rFonts w:cs="Arial"/>
        </w:rPr>
      </w:pPr>
      <w:r>
        <w:rPr>
          <w:rFonts w:cs="Arial"/>
        </w:rPr>
        <w:t>“</w:t>
      </w:r>
      <w:r>
        <w:rPr>
          <w:rFonts w:cs="Arial"/>
          <w:u w:val="single"/>
        </w:rPr>
        <w:t>Lender Consent</w:t>
      </w:r>
      <w:r>
        <w:rPr>
          <w:rFonts w:cs="Arial"/>
        </w:rPr>
        <w:t xml:space="preserve">” shall have the meaning set forth in </w:t>
      </w:r>
      <w:r>
        <w:rPr>
          <w:rFonts w:cs="Arial"/>
          <w:u w:val="single"/>
        </w:rPr>
        <w:t>Section </w:t>
      </w:r>
      <w:r w:rsidR="00C4713A">
        <w:rPr>
          <w:rFonts w:cs="Arial"/>
          <w:u w:val="single"/>
        </w:rPr>
        <w:fldChar w:fldCharType="begin"/>
      </w:r>
      <w:r w:rsidR="00C4713A">
        <w:rPr>
          <w:rFonts w:cs="Arial"/>
          <w:u w:val="single"/>
        </w:rPr>
        <w:instrText xml:space="preserve"> REF _Ref149810572 \w \h </w:instrText>
      </w:r>
      <w:r w:rsidR="00C4713A">
        <w:rPr>
          <w:rFonts w:cs="Arial"/>
          <w:u w:val="single"/>
        </w:rPr>
      </w:r>
      <w:r w:rsidR="00C4713A">
        <w:rPr>
          <w:rFonts w:cs="Arial"/>
          <w:u w:val="single"/>
        </w:rPr>
        <w:fldChar w:fldCharType="separate"/>
      </w:r>
      <w:r w:rsidR="00C4713A">
        <w:rPr>
          <w:rFonts w:cs="Arial"/>
          <w:u w:val="single"/>
        </w:rPr>
        <w:t>18.1</w:t>
      </w:r>
      <w:r w:rsidR="00C4713A">
        <w:rPr>
          <w:rFonts w:cs="Arial"/>
          <w:u w:val="single"/>
        </w:rPr>
        <w:fldChar w:fldCharType="end"/>
      </w:r>
      <w:r>
        <w:rPr>
          <w:rFonts w:cs="Arial"/>
        </w:rPr>
        <w:t xml:space="preserve">. </w:t>
      </w:r>
    </w:p>
    <w:p w14:paraId="3B8C162F" w14:textId="295798EB" w:rsidR="00B33CBD" w:rsidRPr="00A12863" w:rsidRDefault="00B33CBD">
      <w:pPr>
        <w:pStyle w:val="BodyTextFirstIndent"/>
        <w:ind w:right="0"/>
        <w:rPr>
          <w:rFonts w:cs="Arial"/>
          <w:lang w:val="en-US"/>
        </w:rPr>
      </w:pPr>
      <w:r>
        <w:rPr>
          <w:rFonts w:cs="Arial"/>
          <w:lang w:val="en-US"/>
        </w:rPr>
        <w:t>“</w:t>
      </w:r>
      <w:r>
        <w:rPr>
          <w:rFonts w:cs="Arial"/>
          <w:u w:val="single"/>
          <w:lang w:val="en-US"/>
        </w:rPr>
        <w:t>Lender Notice</w:t>
      </w:r>
      <w:r>
        <w:rPr>
          <w:rFonts w:cs="Arial"/>
          <w:lang w:val="en-US"/>
        </w:rPr>
        <w:t xml:space="preserve">” shall have the meaning </w:t>
      </w:r>
      <w:proofErr w:type="gramStart"/>
      <w:r>
        <w:rPr>
          <w:rFonts w:cs="Arial"/>
          <w:lang w:val="en-US"/>
        </w:rPr>
        <w:t>set forth in</w:t>
      </w:r>
      <w:proofErr w:type="gramEnd"/>
      <w:r>
        <w:rPr>
          <w:rFonts w:cs="Arial"/>
          <w:lang w:val="en-US"/>
        </w:rPr>
        <w:t xml:space="preserve"> </w:t>
      </w:r>
      <w:r>
        <w:rPr>
          <w:rFonts w:cs="Arial"/>
          <w:u w:val="single"/>
          <w:lang w:val="en-US"/>
        </w:rPr>
        <w:t xml:space="preserve">Section </w:t>
      </w:r>
      <w:r w:rsidR="00C4713A">
        <w:rPr>
          <w:rFonts w:cs="Arial"/>
          <w:u w:val="single"/>
          <w:lang w:val="en-US"/>
        </w:rPr>
        <w:fldChar w:fldCharType="begin"/>
      </w:r>
      <w:r w:rsidR="00C4713A">
        <w:rPr>
          <w:rFonts w:cs="Arial"/>
          <w:u w:val="single"/>
          <w:lang w:val="en-US"/>
        </w:rPr>
        <w:instrText xml:space="preserve"> REF _Ref149810582 \w \h </w:instrText>
      </w:r>
      <w:r w:rsidR="00C4713A">
        <w:rPr>
          <w:rFonts w:cs="Arial"/>
          <w:u w:val="single"/>
          <w:lang w:val="en-US"/>
        </w:rPr>
      </w:r>
      <w:r w:rsidR="00C4713A">
        <w:rPr>
          <w:rFonts w:cs="Arial"/>
          <w:u w:val="single"/>
          <w:lang w:val="en-US"/>
        </w:rPr>
        <w:fldChar w:fldCharType="separate"/>
      </w:r>
      <w:r w:rsidR="00C4713A">
        <w:rPr>
          <w:rFonts w:cs="Arial"/>
          <w:u w:val="single"/>
          <w:lang w:val="en-US"/>
        </w:rPr>
        <w:t>18.2(A)</w:t>
      </w:r>
      <w:r w:rsidR="00C4713A">
        <w:rPr>
          <w:rFonts w:cs="Arial"/>
          <w:u w:val="single"/>
          <w:lang w:val="en-US"/>
        </w:rPr>
        <w:fldChar w:fldCharType="end"/>
      </w:r>
      <w:r>
        <w:rPr>
          <w:rFonts w:cs="Arial"/>
          <w:u w:val="single"/>
          <w:lang w:val="en-US"/>
        </w:rPr>
        <w:t>.</w:t>
      </w:r>
    </w:p>
    <w:p w14:paraId="49560201" w14:textId="20924790" w:rsidR="00B63F33" w:rsidRDefault="00B63F33">
      <w:pPr>
        <w:pStyle w:val="BodyTextFirstIndent"/>
        <w:ind w:right="0"/>
        <w:rPr>
          <w:rFonts w:cs="Arial"/>
          <w:lang w:val="en-US"/>
        </w:rPr>
      </w:pPr>
      <w:r>
        <w:rPr>
          <w:rFonts w:cs="Arial"/>
          <w:lang w:val="en-US"/>
        </w:rPr>
        <w:t>“</w:t>
      </w:r>
      <w:r>
        <w:rPr>
          <w:rFonts w:cs="Arial"/>
          <w:u w:val="single"/>
          <w:lang w:val="en-US"/>
        </w:rPr>
        <w:t>Letter of Credit</w:t>
      </w:r>
      <w:r>
        <w:rPr>
          <w:rFonts w:cs="Arial"/>
          <w:lang w:val="en-US"/>
        </w:rPr>
        <w:t xml:space="preserve">” shall have the meaning </w:t>
      </w:r>
      <w:proofErr w:type="gramStart"/>
      <w:r>
        <w:rPr>
          <w:rFonts w:cs="Arial"/>
          <w:lang w:val="en-US"/>
        </w:rPr>
        <w:t>set forth in</w:t>
      </w:r>
      <w:proofErr w:type="gramEnd"/>
      <w:r>
        <w:rPr>
          <w:rFonts w:cs="Arial"/>
          <w:lang w:val="en-US"/>
        </w:rPr>
        <w:t xml:space="preserve"> </w:t>
      </w:r>
      <w:r>
        <w:rPr>
          <w:rFonts w:cs="Arial"/>
          <w:u w:val="single"/>
          <w:lang w:val="en-US"/>
        </w:rPr>
        <w:t xml:space="preserve">Section </w:t>
      </w:r>
      <w:r w:rsidR="00C4713A">
        <w:rPr>
          <w:rFonts w:cs="Arial"/>
          <w:u w:val="single"/>
          <w:lang w:val="en-US"/>
        </w:rPr>
        <w:fldChar w:fldCharType="begin"/>
      </w:r>
      <w:r w:rsidR="00C4713A">
        <w:rPr>
          <w:rFonts w:cs="Arial"/>
          <w:u w:val="single"/>
          <w:lang w:val="en-US"/>
        </w:rPr>
        <w:instrText xml:space="preserve"> REF _Ref149810561 \w \h </w:instrText>
      </w:r>
      <w:r w:rsidR="00C4713A">
        <w:rPr>
          <w:rFonts w:cs="Arial"/>
          <w:u w:val="single"/>
          <w:lang w:val="en-US"/>
        </w:rPr>
      </w:r>
      <w:r w:rsidR="00C4713A">
        <w:rPr>
          <w:rFonts w:cs="Arial"/>
          <w:u w:val="single"/>
          <w:lang w:val="en-US"/>
        </w:rPr>
        <w:fldChar w:fldCharType="separate"/>
      </w:r>
      <w:r w:rsidR="00C4713A">
        <w:rPr>
          <w:rFonts w:cs="Arial"/>
          <w:u w:val="single"/>
          <w:lang w:val="en-US"/>
        </w:rPr>
        <w:t>11.3(A)</w:t>
      </w:r>
      <w:r w:rsidR="00C4713A">
        <w:rPr>
          <w:rFonts w:cs="Arial"/>
          <w:u w:val="single"/>
          <w:lang w:val="en-US"/>
        </w:rPr>
        <w:fldChar w:fldCharType="end"/>
      </w:r>
      <w:r>
        <w:rPr>
          <w:rFonts w:cs="Arial"/>
          <w:lang w:val="en-US"/>
        </w:rPr>
        <w:t xml:space="preserve">. </w:t>
      </w:r>
    </w:p>
    <w:p w14:paraId="0397BE41" w14:textId="53244BAA" w:rsidR="00B63F33" w:rsidRDefault="00B63F33">
      <w:pPr>
        <w:pStyle w:val="BodyTextFirstIndent"/>
        <w:ind w:right="0"/>
        <w:rPr>
          <w:rFonts w:cs="Arial"/>
        </w:rPr>
      </w:pPr>
      <w:r>
        <w:t>“</w:t>
      </w:r>
      <w:r>
        <w:rPr>
          <w:u w:val="single"/>
        </w:rPr>
        <w:t>Liquidated Delay Damages</w:t>
      </w:r>
      <w:r>
        <w:rPr>
          <w:lang w:val="en-US"/>
        </w:rPr>
        <w:t xml:space="preserve">” </w:t>
      </w:r>
      <w:r>
        <w:rPr>
          <w:rFonts w:cs="Arial"/>
        </w:rPr>
        <w:t xml:space="preserve">shall have the meaning set forth in </w:t>
      </w:r>
      <w:r>
        <w:rPr>
          <w:rFonts w:cs="Arial"/>
          <w:u w:val="single"/>
        </w:rPr>
        <w:t>Section </w:t>
      </w:r>
      <w:r w:rsidR="009A1023">
        <w:rPr>
          <w:rFonts w:cs="Arial"/>
          <w:u w:val="single"/>
        </w:rPr>
        <w:fldChar w:fldCharType="begin"/>
      </w:r>
      <w:r w:rsidR="009A1023">
        <w:rPr>
          <w:rFonts w:cs="Arial"/>
          <w:u w:val="single"/>
        </w:rPr>
        <w:instrText xml:space="preserve"> REF _Ref149810702 \w \h </w:instrText>
      </w:r>
      <w:r w:rsidR="009A1023">
        <w:rPr>
          <w:rFonts w:cs="Arial"/>
          <w:u w:val="single"/>
        </w:rPr>
      </w:r>
      <w:r w:rsidR="009A1023">
        <w:rPr>
          <w:rFonts w:cs="Arial"/>
          <w:u w:val="single"/>
        </w:rPr>
        <w:fldChar w:fldCharType="separate"/>
      </w:r>
      <w:r w:rsidR="009A1023">
        <w:rPr>
          <w:rFonts w:cs="Arial"/>
          <w:u w:val="single"/>
        </w:rPr>
        <w:t>12.2</w:t>
      </w:r>
      <w:r w:rsidR="009A1023">
        <w:rPr>
          <w:rFonts w:cs="Arial"/>
          <w:u w:val="single"/>
        </w:rPr>
        <w:fldChar w:fldCharType="end"/>
      </w:r>
      <w:r>
        <w:rPr>
          <w:rFonts w:cs="Arial"/>
        </w:rPr>
        <w:t xml:space="preserve">. </w:t>
      </w:r>
    </w:p>
    <w:p w14:paraId="6F6A6794" w14:textId="3277A40E" w:rsidR="00B63F33" w:rsidRDefault="00B63F33">
      <w:pPr>
        <w:pStyle w:val="BodyTextFirstIndent"/>
        <w:ind w:right="0"/>
        <w:rPr>
          <w:lang w:val="en-US"/>
        </w:rPr>
      </w:pPr>
      <w:r>
        <w:rPr>
          <w:lang w:val="en-US"/>
        </w:rPr>
        <w:t>“</w:t>
      </w:r>
      <w:r>
        <w:rPr>
          <w:u w:val="single"/>
          <w:lang w:val="en-US"/>
        </w:rPr>
        <w:t>Local Provider</w:t>
      </w:r>
      <w:r>
        <w:rPr>
          <w:lang w:val="en-US"/>
        </w:rPr>
        <w:t xml:space="preserve">” shall have the meaning </w:t>
      </w:r>
      <w:proofErr w:type="gramStart"/>
      <w:r>
        <w:rPr>
          <w:lang w:val="en-US"/>
        </w:rPr>
        <w:t>set forth in</w:t>
      </w:r>
      <w:proofErr w:type="gramEnd"/>
      <w:r>
        <w:rPr>
          <w:lang w:val="en-US"/>
        </w:rPr>
        <w:t xml:space="preserve"> </w:t>
      </w:r>
      <w:r>
        <w:rPr>
          <w:u w:val="single"/>
          <w:lang w:val="en-US"/>
        </w:rPr>
        <w:t xml:space="preserve">Section </w:t>
      </w:r>
      <w:r w:rsidR="009A1023">
        <w:rPr>
          <w:u w:val="single"/>
          <w:lang w:val="en-US"/>
        </w:rPr>
        <w:fldChar w:fldCharType="begin"/>
      </w:r>
      <w:r w:rsidR="009A1023">
        <w:rPr>
          <w:u w:val="single"/>
          <w:lang w:val="en-US"/>
        </w:rPr>
        <w:instrText xml:space="preserve"> REF _Ref149810510 \w \h </w:instrText>
      </w:r>
      <w:r w:rsidR="009A1023">
        <w:rPr>
          <w:u w:val="single"/>
          <w:lang w:val="en-US"/>
        </w:rPr>
      </w:r>
      <w:r w:rsidR="009A1023">
        <w:rPr>
          <w:u w:val="single"/>
          <w:lang w:val="en-US"/>
        </w:rPr>
        <w:fldChar w:fldCharType="separate"/>
      </w:r>
      <w:r w:rsidR="009A1023">
        <w:rPr>
          <w:u w:val="single"/>
          <w:lang w:val="en-US"/>
        </w:rPr>
        <w:t>1.2(B)</w:t>
      </w:r>
      <w:r w:rsidR="009A1023">
        <w:rPr>
          <w:u w:val="single"/>
          <w:lang w:val="en-US"/>
        </w:rPr>
        <w:fldChar w:fldCharType="end"/>
      </w:r>
      <w:r>
        <w:rPr>
          <w:lang w:val="en-US"/>
        </w:rPr>
        <w:t>.</w:t>
      </w:r>
    </w:p>
    <w:p w14:paraId="601479CC" w14:textId="782EFC86" w:rsidR="00B63F33" w:rsidRDefault="00B63F33">
      <w:pPr>
        <w:pStyle w:val="BodyTextFirstIndent"/>
        <w:ind w:right="0"/>
      </w:pPr>
      <w:r>
        <w:rPr>
          <w:lang w:val="en-US"/>
        </w:rPr>
        <w:t>“</w:t>
      </w:r>
      <w:r>
        <w:rPr>
          <w:u w:val="single"/>
          <w:lang w:val="en-US"/>
        </w:rPr>
        <w:t>Losses</w:t>
      </w:r>
      <w:r>
        <w:rPr>
          <w:lang w:val="en-US"/>
        </w:rPr>
        <w:t xml:space="preserve">” </w:t>
      </w:r>
      <w:r>
        <w:t xml:space="preserve">shall have the meaning </w:t>
      </w:r>
      <w:proofErr w:type="gramStart"/>
      <w:r>
        <w:t>set forth in</w:t>
      </w:r>
      <w:proofErr w:type="gramEnd"/>
      <w:r>
        <w:t xml:space="preserve"> </w:t>
      </w:r>
      <w:r>
        <w:rPr>
          <w:u w:val="single"/>
          <w:lang w:val="en-US"/>
        </w:rPr>
        <w:t xml:space="preserve">Section </w:t>
      </w:r>
      <w:r w:rsidR="009A1023">
        <w:rPr>
          <w:u w:val="single"/>
        </w:rPr>
        <w:fldChar w:fldCharType="begin"/>
      </w:r>
      <w:r w:rsidR="009A1023">
        <w:rPr>
          <w:u w:val="single"/>
          <w:lang w:val="en-US"/>
        </w:rPr>
        <w:instrText xml:space="preserve"> REF _Ref149810738 \w \h </w:instrText>
      </w:r>
      <w:r w:rsidR="009A1023">
        <w:rPr>
          <w:u w:val="single"/>
        </w:rPr>
      </w:r>
      <w:r w:rsidR="009A1023">
        <w:rPr>
          <w:u w:val="single"/>
        </w:rPr>
        <w:fldChar w:fldCharType="separate"/>
      </w:r>
      <w:r w:rsidR="009A1023">
        <w:rPr>
          <w:u w:val="single"/>
          <w:lang w:val="en-US"/>
        </w:rPr>
        <w:t>17.1</w:t>
      </w:r>
      <w:r w:rsidR="009A1023">
        <w:rPr>
          <w:u w:val="single"/>
        </w:rPr>
        <w:fldChar w:fldCharType="end"/>
      </w:r>
      <w:r>
        <w:t>.</w:t>
      </w:r>
    </w:p>
    <w:p w14:paraId="0C9169A5" w14:textId="6FF291A8" w:rsidR="00B63F33" w:rsidRDefault="00B63F33">
      <w:pPr>
        <w:pStyle w:val="BodyTextFirstIndent"/>
        <w:ind w:right="0"/>
      </w:pPr>
      <w:r>
        <w:t>"</w:t>
      </w:r>
      <w:r>
        <w:rPr>
          <w:u w:val="single"/>
        </w:rPr>
        <w:t>Maintenance Schedule</w:t>
      </w:r>
      <w:r>
        <w:rPr>
          <w:u w:val="single"/>
          <w:lang w:val="en-US"/>
        </w:rPr>
        <w:t>s</w:t>
      </w:r>
      <w:r>
        <w:t xml:space="preserve">" </w:t>
      </w:r>
      <w:r>
        <w:rPr>
          <w:lang w:val="en-US"/>
        </w:rPr>
        <w:t xml:space="preserve">shall have </w:t>
      </w:r>
      <w:r>
        <w:t xml:space="preserve">the meaning set forth in </w:t>
      </w:r>
      <w:r>
        <w:rPr>
          <w:u w:val="single"/>
        </w:rPr>
        <w:t xml:space="preserve">Section </w:t>
      </w:r>
      <w:r w:rsidR="009A1023">
        <w:rPr>
          <w:u w:val="single"/>
        </w:rPr>
        <w:fldChar w:fldCharType="begin"/>
      </w:r>
      <w:r w:rsidR="009A1023">
        <w:rPr>
          <w:u w:val="single"/>
        </w:rPr>
        <w:instrText xml:space="preserve"> REF _Ref149810747 \w \h </w:instrText>
      </w:r>
      <w:r w:rsidR="009A1023">
        <w:rPr>
          <w:u w:val="single"/>
        </w:rPr>
      </w:r>
      <w:r w:rsidR="009A1023">
        <w:rPr>
          <w:u w:val="single"/>
        </w:rPr>
        <w:fldChar w:fldCharType="separate"/>
      </w:r>
      <w:r w:rsidR="009A1023">
        <w:rPr>
          <w:u w:val="single"/>
        </w:rPr>
        <w:t>10.2(A)</w:t>
      </w:r>
      <w:r w:rsidR="009A1023">
        <w:rPr>
          <w:u w:val="single"/>
        </w:rPr>
        <w:fldChar w:fldCharType="end"/>
      </w:r>
      <w:r>
        <w:t>.</w:t>
      </w:r>
    </w:p>
    <w:p w14:paraId="418E8CF3" w14:textId="77777777" w:rsidR="00B63F33" w:rsidRDefault="00B63F33">
      <w:pPr>
        <w:pStyle w:val="BodyTextFirstIndent"/>
        <w:ind w:right="0"/>
        <w:rPr>
          <w:i/>
        </w:rPr>
      </w:pPr>
      <w:r>
        <w:t>“</w:t>
      </w:r>
      <w:r>
        <w:rPr>
          <w:u w:val="single"/>
        </w:rPr>
        <w:t>Market Operator</w:t>
      </w:r>
      <w:r>
        <w:t xml:space="preserve">” means the entity that instructs market participants and/or generators to regulate generation assets (including the Facility) within any energy market in which Company participates, based on price-based offer curves for the purpose of matching generation output to system load demand while maintaining bulk electric system reliability.  If such entity is the Transmission Authority, then “Market Operator” shall mean such entity acting in its capacity as such. </w:t>
      </w:r>
    </w:p>
    <w:p w14:paraId="14C20DFD" w14:textId="77777777" w:rsidR="00B63F33" w:rsidRDefault="00B63F33">
      <w:pPr>
        <w:pStyle w:val="BodyTextFirstIndent"/>
        <w:ind w:right="0"/>
      </w:pPr>
      <w:r>
        <w:t>“</w:t>
      </w:r>
      <w:r>
        <w:rPr>
          <w:u w:val="single"/>
        </w:rPr>
        <w:t>Material Adverse Effect</w:t>
      </w:r>
      <w:r>
        <w:t>” means any effect (or effects taken together) that is materially adverse to the present or future business, operations, assets, liabilities, properties, results in operations or condition (financial or otherwise), prospects, or property of a Party, its business, or this PPA.</w:t>
      </w:r>
    </w:p>
    <w:p w14:paraId="739F4FDD" w14:textId="77777777" w:rsidR="00B63F33" w:rsidRDefault="00B63F33">
      <w:pPr>
        <w:pStyle w:val="BodyTextFirstIndent"/>
        <w:ind w:right="0"/>
        <w:rPr>
          <w:lang w:val="en-US"/>
        </w:rPr>
      </w:pPr>
      <w:r>
        <w:rPr>
          <w:lang w:val="en-US"/>
        </w:rPr>
        <w:t>“</w:t>
      </w:r>
      <w:r>
        <w:rPr>
          <w:u w:val="single"/>
          <w:lang w:val="en-US"/>
        </w:rPr>
        <w:t>MIPSA</w:t>
      </w:r>
      <w:r>
        <w:rPr>
          <w:lang w:val="en-US"/>
        </w:rPr>
        <w:t>” means member interest purchase and sale agreement.</w:t>
      </w:r>
    </w:p>
    <w:p w14:paraId="69CE8270" w14:textId="2D6C6F65" w:rsidR="00341E53" w:rsidRDefault="00341E53" w:rsidP="00040932">
      <w:pPr>
        <w:pStyle w:val="BodyTextFirstIndent"/>
        <w:spacing w:after="80"/>
        <w:ind w:right="0"/>
      </w:pPr>
      <w:r w:rsidRPr="00D0436B">
        <w:lastRenderedPageBreak/>
        <w:t>“</w:t>
      </w:r>
      <w:r w:rsidRPr="00D0436B">
        <w:rPr>
          <w:u w:val="single"/>
        </w:rPr>
        <w:t>MPUC</w:t>
      </w:r>
      <w:r>
        <w:t>” means the Minnesota Public Utilities Commission</w:t>
      </w:r>
      <w:r>
        <w:rPr>
          <w:lang w:val="en-US"/>
        </w:rPr>
        <w:t xml:space="preserve"> </w:t>
      </w:r>
      <w:r>
        <w:t>or any successor agency..</w:t>
      </w:r>
    </w:p>
    <w:p w14:paraId="41C7D0E3" w14:textId="4A42F711" w:rsidR="00B63F33" w:rsidRDefault="00B63F33">
      <w:pPr>
        <w:pStyle w:val="BodyTextFirstIndent"/>
        <w:ind w:right="0"/>
        <w:rPr>
          <w:rFonts w:cs="Arial"/>
        </w:rPr>
      </w:pPr>
      <w:r>
        <w:t>“</w:t>
      </w:r>
      <w:r>
        <w:rPr>
          <w:u w:val="single"/>
          <w:lang w:val="en-US"/>
        </w:rPr>
        <w:t>Monthly Energy Payment</w:t>
      </w:r>
      <w:r>
        <w:t>”</w:t>
      </w:r>
      <w:r>
        <w:rPr>
          <w:lang w:val="en-US"/>
        </w:rPr>
        <w:t xml:space="preserve"> </w:t>
      </w:r>
      <w:r>
        <w:rPr>
          <w:rFonts w:cs="Arial"/>
        </w:rPr>
        <w:t xml:space="preserve">shall have the meaning set forth in </w:t>
      </w:r>
      <w:r>
        <w:rPr>
          <w:rFonts w:cs="Arial"/>
          <w:u w:val="single"/>
        </w:rPr>
        <w:t xml:space="preserve">Section </w:t>
      </w:r>
      <w:r w:rsidR="009A1023">
        <w:rPr>
          <w:rFonts w:cs="Arial"/>
          <w:u w:val="single"/>
          <w:lang w:val="en-US"/>
        </w:rPr>
        <w:fldChar w:fldCharType="begin"/>
      </w:r>
      <w:r w:rsidR="009A1023">
        <w:rPr>
          <w:rFonts w:cs="Arial"/>
          <w:u w:val="single"/>
        </w:rPr>
        <w:instrText xml:space="preserve"> REF _Ref149810128 \w \h </w:instrText>
      </w:r>
      <w:r w:rsidR="009A1023">
        <w:rPr>
          <w:rFonts w:cs="Arial"/>
          <w:u w:val="single"/>
          <w:lang w:val="en-US"/>
        </w:rPr>
      </w:r>
      <w:r w:rsidR="009A1023">
        <w:rPr>
          <w:rFonts w:cs="Arial"/>
          <w:u w:val="single"/>
          <w:lang w:val="en-US"/>
        </w:rPr>
        <w:fldChar w:fldCharType="separate"/>
      </w:r>
      <w:r w:rsidR="009A1023">
        <w:rPr>
          <w:rFonts w:cs="Arial"/>
          <w:u w:val="single"/>
        </w:rPr>
        <w:t>8.1(B)</w:t>
      </w:r>
      <w:r w:rsidR="009A1023">
        <w:rPr>
          <w:rFonts w:cs="Arial"/>
          <w:u w:val="single"/>
          <w:lang w:val="en-US"/>
        </w:rPr>
        <w:fldChar w:fldCharType="end"/>
      </w:r>
      <w:r>
        <w:rPr>
          <w:rFonts w:cs="Arial"/>
        </w:rPr>
        <w:t>.</w:t>
      </w:r>
    </w:p>
    <w:p w14:paraId="29A57B31" w14:textId="77777777" w:rsidR="00B63F33" w:rsidRDefault="00B63F33">
      <w:pPr>
        <w:pStyle w:val="BodyTextFirstIndent"/>
        <w:ind w:right="0"/>
      </w:pPr>
      <w:r>
        <w:t>“</w:t>
      </w:r>
      <w:r>
        <w:rPr>
          <w:u w:val="single"/>
        </w:rPr>
        <w:t>MPUC</w:t>
      </w:r>
      <w:r>
        <w:t>” means the Minnesota Public Utilities Commission</w:t>
      </w:r>
      <w:r>
        <w:rPr>
          <w:lang w:val="en-US"/>
        </w:rPr>
        <w:t xml:space="preserve"> </w:t>
      </w:r>
      <w:r>
        <w:t>or any successor agency.</w:t>
      </w:r>
    </w:p>
    <w:p w14:paraId="4C73E1C3" w14:textId="77777777" w:rsidR="00B63F33" w:rsidRDefault="00B63F33">
      <w:pPr>
        <w:pStyle w:val="BodyTextFirstIndent"/>
        <w:ind w:right="0"/>
        <w:rPr>
          <w:rFonts w:cs="Arial"/>
        </w:rPr>
      </w:pPr>
      <w:r>
        <w:rPr>
          <w:rFonts w:cs="Arial"/>
        </w:rPr>
        <w:t>“</w:t>
      </w:r>
      <w:r>
        <w:rPr>
          <w:rFonts w:cs="Arial"/>
          <w:u w:val="single"/>
        </w:rPr>
        <w:t>MW</w:t>
      </w:r>
      <w:r>
        <w:rPr>
          <w:rFonts w:cs="Arial"/>
        </w:rPr>
        <w:t>” means megawatt or one thousand kW, and “</w:t>
      </w:r>
      <w:r>
        <w:rPr>
          <w:rFonts w:cs="Arial"/>
          <w:u w:val="single"/>
        </w:rPr>
        <w:t>MWh</w:t>
      </w:r>
      <w:r>
        <w:rPr>
          <w:rFonts w:cs="Arial"/>
        </w:rPr>
        <w:t>” means megawatt hours</w:t>
      </w:r>
      <w:r>
        <w:rPr>
          <w:rFonts w:cs="Arial"/>
          <w:lang w:val="en-US"/>
        </w:rPr>
        <w:t xml:space="preserve"> or one thousand kWh.</w:t>
      </w:r>
      <w:r>
        <w:rPr>
          <w:rFonts w:cs="Arial"/>
        </w:rPr>
        <w:t>.</w:t>
      </w:r>
    </w:p>
    <w:p w14:paraId="14A8E350" w14:textId="227E692E" w:rsidR="00B63F33" w:rsidRDefault="00B63F33">
      <w:pPr>
        <w:pStyle w:val="BodyTextFirstIndent"/>
        <w:ind w:right="0"/>
        <w:rPr>
          <w:rFonts w:cs="Arial"/>
        </w:rPr>
      </w:pPr>
      <w:r>
        <w:rPr>
          <w:rFonts w:cs="Arial"/>
        </w:rPr>
        <w:t>“</w:t>
      </w:r>
      <w:r>
        <w:rPr>
          <w:rFonts w:cs="Arial"/>
          <w:u w:val="single"/>
        </w:rPr>
        <w:t>Nameplate Capacity</w:t>
      </w:r>
      <w:r>
        <w:rPr>
          <w:rFonts w:cs="Arial"/>
        </w:rPr>
        <w:t>” of the Facility means the sum of the designed maximum outputs of each [</w:t>
      </w:r>
      <w:r>
        <w:rPr>
          <w:rFonts w:cs="Arial"/>
          <w:highlight w:val="yellow"/>
        </w:rPr>
        <w:t>Wind Turbine</w:t>
      </w:r>
      <w:r>
        <w:rPr>
          <w:rFonts w:cs="Arial"/>
        </w:rPr>
        <w:t>] [</w:t>
      </w:r>
      <w:r>
        <w:rPr>
          <w:rFonts w:cs="Arial"/>
          <w:highlight w:val="yellow"/>
        </w:rPr>
        <w:t>Solar Unit</w:t>
      </w:r>
      <w:r>
        <w:rPr>
          <w:rFonts w:cs="Arial"/>
        </w:rPr>
        <w:t>] comprising the Facility</w:t>
      </w:r>
      <w:r>
        <w:rPr>
          <w:rFonts w:cs="Arial"/>
          <w:lang w:val="en-US"/>
        </w:rPr>
        <w:t xml:space="preserve"> expressed in MWs</w:t>
      </w:r>
      <w:r>
        <w:rPr>
          <w:rFonts w:cs="Arial"/>
        </w:rPr>
        <w:t>, as designated by the manufacturer</w:t>
      </w:r>
      <w:r>
        <w:rPr>
          <w:rFonts w:cs="Arial"/>
          <w:lang w:val="en-US"/>
        </w:rPr>
        <w:t xml:space="preserve">, as measured at the Interconnection Point, and as set forth in </w:t>
      </w:r>
      <w:r>
        <w:rPr>
          <w:u w:val="single"/>
          <w:lang w:val="en-US"/>
        </w:rPr>
        <w:t xml:space="preserve">Section </w:t>
      </w:r>
      <w:r w:rsidR="009A1023">
        <w:rPr>
          <w:u w:val="single"/>
          <w:lang w:val="en-US"/>
        </w:rPr>
        <w:fldChar w:fldCharType="begin"/>
      </w:r>
      <w:r w:rsidR="009A1023">
        <w:rPr>
          <w:u w:val="single"/>
          <w:lang w:val="en-US"/>
        </w:rPr>
        <w:instrText xml:space="preserve"> REF _Ref149810784 \w \h </w:instrText>
      </w:r>
      <w:r w:rsidR="009A1023">
        <w:rPr>
          <w:u w:val="single"/>
          <w:lang w:val="en-US"/>
        </w:rPr>
      </w:r>
      <w:r w:rsidR="009A1023">
        <w:rPr>
          <w:u w:val="single"/>
          <w:lang w:val="en-US"/>
        </w:rPr>
        <w:fldChar w:fldCharType="separate"/>
      </w:r>
      <w:r w:rsidR="009A1023">
        <w:rPr>
          <w:u w:val="single"/>
          <w:lang w:val="en-US"/>
        </w:rPr>
        <w:t>3.2(C)</w:t>
      </w:r>
      <w:r w:rsidR="009A1023">
        <w:rPr>
          <w:u w:val="single"/>
          <w:lang w:val="en-US"/>
        </w:rPr>
        <w:fldChar w:fldCharType="end"/>
      </w:r>
      <w:r>
        <w:rPr>
          <w:rFonts w:cs="Arial"/>
          <w:lang w:val="en-US"/>
        </w:rPr>
        <w:t xml:space="preserve"> For the avoidance of doubt, the Nameplate Capacity may not be greater than the interconnection capacity specified in the Interconnection Agreement. </w:t>
      </w:r>
    </w:p>
    <w:p w14:paraId="2E253600" w14:textId="148C35E7" w:rsidR="00B63F33" w:rsidRPr="00D0436B" w:rsidRDefault="00341E53" w:rsidP="00040932">
      <w:pPr>
        <w:pStyle w:val="BodyTextFirstIndent"/>
        <w:ind w:right="0"/>
      </w:pPr>
      <w:r w:rsidRPr="00D0436B">
        <w:t>“</w:t>
      </w:r>
      <w:r w:rsidRPr="00D0436B">
        <w:rPr>
          <w:u w:val="single"/>
        </w:rPr>
        <w:t>ND PSC”</w:t>
      </w:r>
      <w:r w:rsidRPr="00D0436B">
        <w:t xml:space="preserve"> means the North Dakota Public Service Commission or any successor agency.</w:t>
      </w:r>
    </w:p>
    <w:p w14:paraId="649571D8" w14:textId="77777777" w:rsidR="00B63F33" w:rsidRPr="00D0436B" w:rsidRDefault="00B63F33">
      <w:pPr>
        <w:pStyle w:val="BodyTextFirstIndent"/>
        <w:ind w:right="0"/>
        <w:rPr>
          <w:rFonts w:cs="Arial"/>
        </w:rPr>
      </w:pPr>
      <w:r w:rsidRPr="00D0436B">
        <w:rPr>
          <w:rFonts w:cs="Arial"/>
        </w:rPr>
        <w:t>“</w:t>
      </w:r>
      <w:r w:rsidRPr="00D0436B">
        <w:rPr>
          <w:rFonts w:cs="Arial"/>
          <w:u w:val="single"/>
        </w:rPr>
        <w:t>NERC</w:t>
      </w:r>
      <w:r w:rsidRPr="00D0436B">
        <w:rPr>
          <w:rFonts w:cs="Arial"/>
        </w:rPr>
        <w:t>” means the North American Electric Reliability Council or any successor organization.</w:t>
      </w:r>
    </w:p>
    <w:p w14:paraId="543D4F1F" w14:textId="2DBB64EF" w:rsidR="00B63F33" w:rsidRDefault="00B63F33">
      <w:pPr>
        <w:pStyle w:val="BodyTextFirstIndent"/>
        <w:spacing w:before="120"/>
        <w:ind w:right="0" w:firstLine="360"/>
        <w:rPr>
          <w:lang w:val="en-US"/>
        </w:rPr>
      </w:pPr>
      <w:r w:rsidRPr="00D0436B">
        <w:rPr>
          <w:lang w:val="en-US"/>
        </w:rPr>
        <w:t>“</w:t>
      </w:r>
      <w:r w:rsidRPr="00D0436B">
        <w:rPr>
          <w:u w:val="single"/>
          <w:lang w:val="en-US"/>
        </w:rPr>
        <w:t xml:space="preserve">Network Resource </w:t>
      </w:r>
      <w:r>
        <w:rPr>
          <w:u w:val="single"/>
          <w:lang w:val="en-US"/>
        </w:rPr>
        <w:t>Interconnection Service</w:t>
      </w:r>
      <w:r>
        <w:rPr>
          <w:lang w:val="en-US"/>
        </w:rPr>
        <w:t xml:space="preserve">” means the type of interconnection service which allows Seller to connect the Facility to the transmission or distribution system, as applicable, as a “Network Resource” as defined by the Transmission </w:t>
      </w:r>
      <w:r w:rsidR="003B4AF7">
        <w:rPr>
          <w:lang w:val="en-US"/>
        </w:rPr>
        <w:t>Tariff and</w:t>
      </w:r>
      <w:r>
        <w:rPr>
          <w:lang w:val="en-US"/>
        </w:rPr>
        <w:t xml:space="preserve"> be eligible to deliver the Facility’s output in a manner comparable to that in which the Transmission Authority integrates its generating facilities to serve native load customers.   </w:t>
      </w:r>
    </w:p>
    <w:p w14:paraId="4F11486E" w14:textId="19B2CA2C" w:rsidR="00B63F33" w:rsidRDefault="00B63F33">
      <w:pPr>
        <w:pStyle w:val="BodyTextFirstIndent"/>
        <w:ind w:right="0"/>
      </w:pPr>
      <w:r>
        <w:t>“</w:t>
      </w:r>
      <w:r>
        <w:rPr>
          <w:u w:val="single"/>
        </w:rPr>
        <w:t>Operating Committee</w:t>
      </w:r>
      <w:r>
        <w:t xml:space="preserve">” </w:t>
      </w:r>
      <w:r>
        <w:rPr>
          <w:rFonts w:cs="Arial"/>
        </w:rPr>
        <w:t>means</w:t>
      </w:r>
      <w:r>
        <w:t xml:space="preserve"> one representative</w:t>
      </w:r>
      <w:r>
        <w:rPr>
          <w:lang w:val="en-US"/>
        </w:rPr>
        <w:t>(s)</w:t>
      </w:r>
      <w:r>
        <w:t xml:space="preserve"> each from Company and Seller, pursuant to </w:t>
      </w:r>
      <w:r>
        <w:rPr>
          <w:u w:val="single"/>
        </w:rPr>
        <w:t xml:space="preserve">Section </w:t>
      </w:r>
      <w:r w:rsidR="009A1023">
        <w:rPr>
          <w:u w:val="single"/>
        </w:rPr>
        <w:fldChar w:fldCharType="begin"/>
      </w:r>
      <w:r w:rsidR="009A1023">
        <w:rPr>
          <w:u w:val="single"/>
        </w:rPr>
        <w:instrText xml:space="preserve"> REF _Ref149809201 \w \h </w:instrText>
      </w:r>
      <w:r w:rsidR="009A1023">
        <w:rPr>
          <w:u w:val="single"/>
        </w:rPr>
      </w:r>
      <w:r w:rsidR="009A1023">
        <w:rPr>
          <w:u w:val="single"/>
        </w:rPr>
        <w:fldChar w:fldCharType="separate"/>
      </w:r>
      <w:r w:rsidR="009A1023">
        <w:rPr>
          <w:u w:val="single"/>
        </w:rPr>
        <w:t>10.7</w:t>
      </w:r>
      <w:r w:rsidR="009A1023">
        <w:rPr>
          <w:u w:val="single"/>
        </w:rPr>
        <w:fldChar w:fldCharType="end"/>
      </w:r>
      <w:r>
        <w:t>.</w:t>
      </w:r>
    </w:p>
    <w:p w14:paraId="65147A93" w14:textId="32F02095" w:rsidR="00B63F33" w:rsidRDefault="00B63F33">
      <w:pPr>
        <w:pStyle w:val="BodyTextFirstIndent"/>
        <w:ind w:right="0"/>
      </w:pPr>
      <w:r>
        <w:t>“</w:t>
      </w:r>
      <w:r>
        <w:rPr>
          <w:u w:val="single"/>
        </w:rPr>
        <w:t>Operating Procedures</w:t>
      </w:r>
      <w:r>
        <w:t xml:space="preserve">” means those procedures developed by the Operating Committee pursuant to </w:t>
      </w:r>
      <w:r>
        <w:rPr>
          <w:u w:val="single"/>
        </w:rPr>
        <w:t>Section </w:t>
      </w:r>
      <w:r w:rsidR="009A1023">
        <w:rPr>
          <w:u w:val="single"/>
        </w:rPr>
        <w:fldChar w:fldCharType="begin"/>
      </w:r>
      <w:r w:rsidR="009A1023">
        <w:rPr>
          <w:u w:val="single"/>
        </w:rPr>
        <w:instrText xml:space="preserve"> REF _Ref149809201 \w \h </w:instrText>
      </w:r>
      <w:r w:rsidR="009A1023">
        <w:rPr>
          <w:u w:val="single"/>
        </w:rPr>
      </w:r>
      <w:r w:rsidR="009A1023">
        <w:rPr>
          <w:u w:val="single"/>
        </w:rPr>
        <w:fldChar w:fldCharType="separate"/>
      </w:r>
      <w:r w:rsidR="009A1023">
        <w:rPr>
          <w:u w:val="single"/>
        </w:rPr>
        <w:t>10.7</w:t>
      </w:r>
      <w:r w:rsidR="009A1023">
        <w:rPr>
          <w:u w:val="single"/>
        </w:rPr>
        <w:fldChar w:fldCharType="end"/>
      </w:r>
      <w:r>
        <w:t>, if any.</w:t>
      </w:r>
    </w:p>
    <w:p w14:paraId="5DAF58B4" w14:textId="77777777" w:rsidR="00B63F33" w:rsidRDefault="00B63F33">
      <w:pPr>
        <w:pStyle w:val="BodyTextFirstIndent"/>
        <w:ind w:right="0"/>
        <w:rPr>
          <w:rFonts w:cs="Arial"/>
          <w:b/>
          <w:i/>
          <w:color w:val="FF0000"/>
        </w:rPr>
      </w:pPr>
      <w:r>
        <w:t>“</w:t>
      </w:r>
      <w:r>
        <w:rPr>
          <w:u w:val="single"/>
        </w:rPr>
        <w:t>Operating Records</w:t>
      </w:r>
      <w:r>
        <w:t>” means all agreements associated with the Facility, operating logs</w:t>
      </w:r>
      <w:r>
        <w:rPr>
          <w:rFonts w:cs="Arial"/>
        </w:rPr>
        <w:t xml:space="preserve">, blueprints for construction, operating manuals, all warranties on equipment, and all documents, whether in printed or electronic format, that Seller uses or maintains for the operation of the Facility. </w:t>
      </w:r>
    </w:p>
    <w:p w14:paraId="2AEAE289" w14:textId="63EEF5D4" w:rsidR="00B63F33" w:rsidRPr="005C125A" w:rsidRDefault="00B63F33">
      <w:pPr>
        <w:pStyle w:val="BodyTextFirstIndent"/>
        <w:ind w:right="0"/>
        <w:rPr>
          <w:rFonts w:cs="Arial"/>
          <w:lang w:val="en-US"/>
        </w:rPr>
      </w:pPr>
      <w:r>
        <w:rPr>
          <w:rFonts w:cs="Arial"/>
        </w:rPr>
        <w:t>“</w:t>
      </w:r>
      <w:r>
        <w:rPr>
          <w:rFonts w:cs="Arial"/>
          <w:u w:val="single"/>
        </w:rPr>
        <w:t>Option</w:t>
      </w:r>
      <w:r>
        <w:rPr>
          <w:rFonts w:cs="Arial"/>
        </w:rPr>
        <w:t>” means Company’s right</w:t>
      </w:r>
      <w:r>
        <w:rPr>
          <w:rFonts w:cs="Arial"/>
          <w:lang w:val="en-US"/>
        </w:rPr>
        <w:t>s</w:t>
      </w:r>
      <w:r>
        <w:rPr>
          <w:rFonts w:cs="Arial"/>
        </w:rPr>
        <w:t xml:space="preserve"> to purchase the Facility</w:t>
      </w:r>
      <w:r>
        <w:t xml:space="preserve"> on the terms and conditions </w:t>
      </w:r>
      <w:r>
        <w:rPr>
          <w:rFonts w:cs="Arial"/>
        </w:rPr>
        <w:t xml:space="preserve">set forth in </w:t>
      </w:r>
      <w:r>
        <w:rPr>
          <w:rFonts w:cs="Arial"/>
          <w:u w:val="single"/>
        </w:rPr>
        <w:t xml:space="preserve">Section </w:t>
      </w:r>
      <w:r w:rsidR="00DC2CA2">
        <w:rPr>
          <w:rFonts w:cs="Arial"/>
          <w:u w:val="single"/>
        </w:rPr>
        <w:fldChar w:fldCharType="begin"/>
      </w:r>
      <w:r w:rsidR="00DC2CA2">
        <w:rPr>
          <w:rFonts w:cs="Arial"/>
          <w:u w:val="single"/>
        </w:rPr>
        <w:instrText xml:space="preserve"> REF _Ref149744141 \w \h </w:instrText>
      </w:r>
      <w:r w:rsidR="00DC2CA2">
        <w:rPr>
          <w:rFonts w:cs="Arial"/>
          <w:u w:val="single"/>
        </w:rPr>
      </w:r>
      <w:r w:rsidR="00DC2CA2">
        <w:rPr>
          <w:rFonts w:cs="Arial"/>
          <w:u w:val="single"/>
        </w:rPr>
        <w:fldChar w:fldCharType="separate"/>
      </w:r>
      <w:r w:rsidR="00DC2CA2">
        <w:rPr>
          <w:rFonts w:cs="Arial"/>
          <w:u w:val="single"/>
        </w:rPr>
        <w:t>19.5</w:t>
      </w:r>
      <w:r w:rsidR="00DC2CA2">
        <w:rPr>
          <w:rFonts w:cs="Arial"/>
          <w:u w:val="single"/>
        </w:rPr>
        <w:fldChar w:fldCharType="end"/>
      </w:r>
      <w:r>
        <w:rPr>
          <w:rFonts w:cs="Arial"/>
        </w:rPr>
        <w:t xml:space="preserve">.  </w:t>
      </w:r>
    </w:p>
    <w:p w14:paraId="10015FE3" w14:textId="4A4FF873" w:rsidR="00B63F33" w:rsidRPr="005C125A" w:rsidRDefault="00B63F33">
      <w:pPr>
        <w:pStyle w:val="BodyTextFirstIndent"/>
        <w:ind w:right="0"/>
        <w:rPr>
          <w:rFonts w:cs="Arial"/>
          <w:lang w:val="en-US"/>
        </w:rPr>
      </w:pPr>
      <w:r w:rsidRPr="005C125A">
        <w:t>“</w:t>
      </w:r>
      <w:r w:rsidRPr="005C125A">
        <w:rPr>
          <w:u w:val="single"/>
        </w:rPr>
        <w:t>Option Preliminary Exercise Notice</w:t>
      </w:r>
      <w:r w:rsidRPr="005C125A">
        <w:t>”</w:t>
      </w:r>
      <w:r w:rsidRPr="005C125A">
        <w:rPr>
          <w:lang w:val="en-US"/>
        </w:rPr>
        <w:t xml:space="preserve"> shall have the meaning set forth in </w:t>
      </w:r>
      <w:r w:rsidRPr="005C125A">
        <w:rPr>
          <w:u w:val="single"/>
          <w:lang w:val="en-US"/>
        </w:rPr>
        <w:t xml:space="preserve">Section </w:t>
      </w:r>
      <w:r w:rsidR="00DC2CA2" w:rsidRPr="005C125A">
        <w:rPr>
          <w:u w:val="single"/>
          <w:lang w:val="en-US"/>
        </w:rPr>
        <w:fldChar w:fldCharType="begin"/>
      </w:r>
      <w:r w:rsidR="00DC2CA2" w:rsidRPr="005C125A">
        <w:rPr>
          <w:u w:val="single"/>
          <w:lang w:val="en-US"/>
        </w:rPr>
        <w:instrText xml:space="preserve"> REF _Ref149809927 \w \h </w:instrText>
      </w:r>
      <w:r w:rsidR="00DC2CA2" w:rsidRPr="005C125A">
        <w:rPr>
          <w:u w:val="single"/>
          <w:lang w:val="en-US"/>
        </w:rPr>
      </w:r>
      <w:r w:rsidR="00DC2CA2" w:rsidRPr="005C125A">
        <w:rPr>
          <w:u w:val="single"/>
          <w:lang w:val="en-US"/>
        </w:rPr>
        <w:fldChar w:fldCharType="separate"/>
      </w:r>
      <w:r w:rsidR="00DC2CA2" w:rsidRPr="005C125A">
        <w:rPr>
          <w:u w:val="single"/>
          <w:lang w:val="en-US"/>
        </w:rPr>
        <w:t>19.5(A)</w:t>
      </w:r>
      <w:r w:rsidR="00DC2CA2" w:rsidRPr="005C125A">
        <w:rPr>
          <w:u w:val="single"/>
          <w:lang w:val="en-US"/>
        </w:rPr>
        <w:fldChar w:fldCharType="end"/>
      </w:r>
      <w:r w:rsidRPr="005C125A">
        <w:rPr>
          <w:lang w:val="en-US"/>
        </w:rPr>
        <w:t xml:space="preserve">.  </w:t>
      </w:r>
    </w:p>
    <w:p w14:paraId="1FC85132" w14:textId="322C5977" w:rsidR="00B63F33" w:rsidRDefault="00B63F33">
      <w:pPr>
        <w:pStyle w:val="BodyTextFirstIndent"/>
        <w:ind w:right="0"/>
        <w:rPr>
          <w:rFonts w:cs="Arial"/>
          <w:lang w:val="en-US"/>
        </w:rPr>
      </w:pPr>
      <w:r>
        <w:rPr>
          <w:rFonts w:cs="Arial"/>
        </w:rPr>
        <w:lastRenderedPageBreak/>
        <w:t>“</w:t>
      </w:r>
      <w:r>
        <w:rPr>
          <w:rFonts w:cs="Arial"/>
          <w:u w:val="single"/>
        </w:rPr>
        <w:t>Park Potential</w:t>
      </w:r>
      <w:r>
        <w:rPr>
          <w:rFonts w:cs="Arial"/>
        </w:rPr>
        <w:t xml:space="preserve">” means the number of MW that depicts Seller’s real time calculation of the Potential Energy capable of being provided by the Facility to Company at the Point of Delivery.  Park Potential shall be calculated using the best-available data obtained through Commercially Reasonable methods; and shall be dependent upon </w:t>
      </w:r>
      <w:r>
        <w:rPr>
          <w:rFonts w:cs="Arial"/>
          <w:lang w:val="en-US"/>
        </w:rPr>
        <w:t>[</w:t>
      </w:r>
      <w:r>
        <w:rPr>
          <w:rFonts w:cs="Arial"/>
          <w:highlight w:val="yellow"/>
        </w:rPr>
        <w:t>measured</w:t>
      </w:r>
      <w:r>
        <w:rPr>
          <w:rFonts w:cs="Arial"/>
        </w:rPr>
        <w:t xml:space="preserve"> </w:t>
      </w:r>
      <w:r>
        <w:rPr>
          <w:rFonts w:cs="Arial"/>
          <w:highlight w:val="yellow"/>
        </w:rPr>
        <w:t>wind speeds</w:t>
      </w:r>
      <w:r>
        <w:rPr>
          <w:rFonts w:cs="Arial"/>
          <w:lang w:val="en-US"/>
        </w:rPr>
        <w:t>] [</w:t>
      </w:r>
      <w:r>
        <w:rPr>
          <w:rFonts w:cs="Arial"/>
          <w:highlight w:val="yellow"/>
          <w:lang w:val="en-US"/>
        </w:rPr>
        <w:t>measured solar irradiance</w:t>
      </w:r>
      <w:r>
        <w:rPr>
          <w:rFonts w:cs="Arial"/>
          <w:lang w:val="en-US"/>
        </w:rPr>
        <w:t>]</w:t>
      </w:r>
      <w:r>
        <w:rPr>
          <w:rFonts w:cs="Arial"/>
        </w:rPr>
        <w:t>, power curves, [</w:t>
      </w:r>
      <w:r>
        <w:rPr>
          <w:rFonts w:cs="Arial"/>
          <w:highlight w:val="yellow"/>
        </w:rPr>
        <w:t>Wind Turbine</w:t>
      </w:r>
      <w:r>
        <w:rPr>
          <w:rFonts w:cs="Arial"/>
        </w:rPr>
        <w:t>] [</w:t>
      </w:r>
      <w:r>
        <w:rPr>
          <w:rFonts w:cs="Arial"/>
          <w:highlight w:val="yellow"/>
        </w:rPr>
        <w:t>Solar Unit</w:t>
      </w:r>
      <w:r>
        <w:rPr>
          <w:rFonts w:cs="Arial"/>
        </w:rPr>
        <w:t>] availability, and derate(s) and transmission line losses, and any other adjustment necessary to accurately reflect the Potential Energy at the Point of Delivery</w:t>
      </w:r>
      <w:r>
        <w:rPr>
          <w:rFonts w:cs="Arial"/>
          <w:lang w:val="en-US"/>
        </w:rPr>
        <w:t>; and, at any given moment in time, may not exceed the Nameplate Capacity</w:t>
      </w:r>
      <w:r>
        <w:rPr>
          <w:rFonts w:cs="Arial"/>
        </w:rPr>
        <w:t>.  Park Potential should be provided to Company in real time through Company’s SCADA System in accordance with the AGC Protocols.</w:t>
      </w:r>
      <w:r>
        <w:rPr>
          <w:rFonts w:cs="Arial"/>
          <w:lang w:val="en-US"/>
        </w:rPr>
        <w:t xml:space="preserve">  Park Potential shall remain within </w:t>
      </w:r>
      <w:r>
        <w:t xml:space="preserve">a measured difference of plus or minus two percent </w:t>
      </w:r>
      <w:r>
        <w:rPr>
          <w:lang w:val="en-US"/>
        </w:rPr>
        <w:t xml:space="preserve">(2%) </w:t>
      </w:r>
      <w:r>
        <w:t>between the metered Renewable Energy and Park Potential, during periods when generation is not curtailed</w:t>
      </w:r>
      <w:r>
        <w:rPr>
          <w:rFonts w:cs="Arial"/>
        </w:rPr>
        <w:t>.</w:t>
      </w:r>
    </w:p>
    <w:p w14:paraId="62DFBAD0" w14:textId="77777777" w:rsidR="00B63F33" w:rsidRDefault="00B63F33">
      <w:pPr>
        <w:pStyle w:val="BodyTextFirstIndent"/>
        <w:ind w:right="0"/>
        <w:rPr>
          <w:rFonts w:cs="Arial"/>
        </w:rPr>
      </w:pPr>
      <w:r>
        <w:rPr>
          <w:rFonts w:cs="Arial"/>
        </w:rPr>
        <w:t>“</w:t>
      </w:r>
      <w:r>
        <w:rPr>
          <w:rFonts w:cs="Arial"/>
          <w:u w:val="single"/>
        </w:rPr>
        <w:t>Party</w:t>
      </w:r>
      <w:r>
        <w:rPr>
          <w:rFonts w:cs="Arial"/>
        </w:rPr>
        <w:t>” and “</w:t>
      </w:r>
      <w:r>
        <w:rPr>
          <w:rFonts w:cs="Arial"/>
          <w:u w:val="single"/>
        </w:rPr>
        <w:t>Parties</w:t>
      </w:r>
      <w:r>
        <w:rPr>
          <w:rFonts w:cs="Arial"/>
        </w:rPr>
        <w:t>” shall have the meanings set forth in the introductory paragraph.</w:t>
      </w:r>
    </w:p>
    <w:p w14:paraId="3C0E9AA0" w14:textId="2AD1F465" w:rsidR="00B63F33" w:rsidRDefault="00B63F33">
      <w:pPr>
        <w:pStyle w:val="BodyTextFirstIndent"/>
        <w:ind w:right="0"/>
        <w:rPr>
          <w:rFonts w:cs="Arial"/>
        </w:rPr>
      </w:pPr>
      <w:r>
        <w:rPr>
          <w:rFonts w:cs="Arial"/>
        </w:rPr>
        <w:t>“</w:t>
      </w:r>
      <w:r>
        <w:rPr>
          <w:rFonts w:cs="Arial"/>
          <w:u w:val="single"/>
        </w:rPr>
        <w:t>Pending Facility Transaction</w:t>
      </w:r>
      <w:r>
        <w:rPr>
          <w:rFonts w:cs="Arial"/>
        </w:rPr>
        <w:t>”</w:t>
      </w:r>
      <w:r>
        <w:rPr>
          <w:lang w:val="en-US"/>
        </w:rPr>
        <w:t xml:space="preserve"> or “</w:t>
      </w:r>
      <w:r>
        <w:rPr>
          <w:u w:val="single"/>
          <w:lang w:val="en-US"/>
        </w:rPr>
        <w:t>PFT</w:t>
      </w:r>
      <w:r>
        <w:rPr>
          <w:lang w:val="en-US"/>
        </w:rPr>
        <w:t>”</w:t>
      </w:r>
      <w:r>
        <w:rPr>
          <w:rFonts w:cs="Arial"/>
        </w:rPr>
        <w:t xml:space="preserve"> shall have the meaning set forth in </w:t>
      </w:r>
      <w:r>
        <w:rPr>
          <w:rFonts w:cs="Arial"/>
          <w:u w:val="single"/>
        </w:rPr>
        <w:t xml:space="preserve">Section </w:t>
      </w:r>
      <w:r w:rsidR="00DC2CA2">
        <w:rPr>
          <w:rFonts w:cs="Arial"/>
          <w:u w:val="single"/>
        </w:rPr>
        <w:fldChar w:fldCharType="begin"/>
      </w:r>
      <w:r w:rsidR="00DC2CA2">
        <w:rPr>
          <w:rFonts w:cs="Arial"/>
          <w:u w:val="single"/>
        </w:rPr>
        <w:instrText xml:space="preserve"> REF _Ref149810897 \w \h </w:instrText>
      </w:r>
      <w:r w:rsidR="00DC2CA2">
        <w:rPr>
          <w:rFonts w:cs="Arial"/>
          <w:u w:val="single"/>
        </w:rPr>
      </w:r>
      <w:r w:rsidR="00DC2CA2">
        <w:rPr>
          <w:rFonts w:cs="Arial"/>
          <w:u w:val="single"/>
        </w:rPr>
        <w:fldChar w:fldCharType="separate"/>
      </w:r>
      <w:r w:rsidR="00DC2CA2">
        <w:rPr>
          <w:rFonts w:cs="Arial"/>
          <w:u w:val="single"/>
        </w:rPr>
        <w:t>19.4(D)</w:t>
      </w:r>
      <w:r w:rsidR="00DC2CA2">
        <w:rPr>
          <w:rFonts w:cs="Arial"/>
          <w:u w:val="single"/>
        </w:rPr>
        <w:fldChar w:fldCharType="end"/>
      </w:r>
      <w:r>
        <w:rPr>
          <w:rFonts w:cs="Arial"/>
        </w:rPr>
        <w:t>.</w:t>
      </w:r>
    </w:p>
    <w:p w14:paraId="174EB688" w14:textId="53998DF3" w:rsidR="00B63F33" w:rsidRDefault="00B63F33">
      <w:pPr>
        <w:pStyle w:val="BodyTextFirstIndent"/>
        <w:spacing w:after="0"/>
        <w:ind w:right="0"/>
        <w:rPr>
          <w:rFonts w:cs="Arial"/>
        </w:rPr>
      </w:pPr>
      <w:r>
        <w:rPr>
          <w:rFonts w:cs="Arial"/>
        </w:rPr>
        <w:t>“</w:t>
      </w:r>
      <w:r>
        <w:rPr>
          <w:rFonts w:cs="Arial"/>
          <w:u w:val="single"/>
        </w:rPr>
        <w:t>Permit</w:t>
      </w:r>
      <w:r>
        <w:rPr>
          <w:rFonts w:cs="Arial"/>
          <w:u w:val="single"/>
          <w:lang w:val="en-US"/>
        </w:rPr>
        <w:t>s</w:t>
      </w:r>
      <w:r>
        <w:rPr>
          <w:rFonts w:cs="Arial"/>
        </w:rPr>
        <w:t xml:space="preserve">” shall have the meaning set forth in </w:t>
      </w:r>
      <w:r>
        <w:rPr>
          <w:rFonts w:cs="Arial"/>
          <w:u w:val="single"/>
        </w:rPr>
        <w:t xml:space="preserve">Section </w:t>
      </w:r>
      <w:r w:rsidR="00DC2CA2">
        <w:rPr>
          <w:rFonts w:cs="Arial"/>
          <w:u w:val="single"/>
        </w:rPr>
        <w:fldChar w:fldCharType="begin"/>
      </w:r>
      <w:r w:rsidR="00DC2CA2">
        <w:rPr>
          <w:rFonts w:cs="Arial"/>
          <w:u w:val="single"/>
        </w:rPr>
        <w:instrText xml:space="preserve"> REF _Ref149810918 \w \h </w:instrText>
      </w:r>
      <w:r w:rsidR="00DC2CA2">
        <w:rPr>
          <w:rFonts w:cs="Arial"/>
          <w:u w:val="single"/>
        </w:rPr>
      </w:r>
      <w:r w:rsidR="00DC2CA2">
        <w:rPr>
          <w:rFonts w:cs="Arial"/>
          <w:u w:val="single"/>
        </w:rPr>
        <w:fldChar w:fldCharType="separate"/>
      </w:r>
      <w:r w:rsidR="00DC2CA2">
        <w:rPr>
          <w:rFonts w:cs="Arial"/>
          <w:u w:val="single"/>
        </w:rPr>
        <w:t>4.3</w:t>
      </w:r>
      <w:r w:rsidR="00DC2CA2">
        <w:rPr>
          <w:rFonts w:cs="Arial"/>
          <w:u w:val="single"/>
        </w:rPr>
        <w:fldChar w:fldCharType="end"/>
      </w:r>
      <w:r>
        <w:rPr>
          <w:rFonts w:cs="Arial"/>
        </w:rPr>
        <w:t>.</w:t>
      </w:r>
    </w:p>
    <w:p w14:paraId="41BD410B" w14:textId="77777777" w:rsidR="00B63F33" w:rsidRDefault="00B63F33" w:rsidP="00691098">
      <w:pPr>
        <w:rPr>
          <w:rFonts w:cs="Arial"/>
        </w:rPr>
      </w:pPr>
    </w:p>
    <w:p w14:paraId="14752155" w14:textId="7E396AC4" w:rsidR="00B63F33" w:rsidRDefault="00B63F33">
      <w:pPr>
        <w:pStyle w:val="BodyTextFirstIndent"/>
        <w:spacing w:after="0"/>
        <w:ind w:right="0"/>
        <w:rPr>
          <w:rFonts w:cs="Arial"/>
        </w:rPr>
      </w:pPr>
      <w:r>
        <w:rPr>
          <w:rFonts w:cs="Arial"/>
        </w:rPr>
        <w:t>“</w:t>
      </w:r>
      <w:r>
        <w:rPr>
          <w:rFonts w:cs="Arial"/>
          <w:u w:val="single"/>
        </w:rPr>
        <w:t>PFT Notice</w:t>
      </w:r>
      <w:r>
        <w:rPr>
          <w:rFonts w:cs="Arial"/>
        </w:rPr>
        <w:t xml:space="preserve">” shall have the meaning set forth in </w:t>
      </w:r>
      <w:r>
        <w:rPr>
          <w:rFonts w:cs="Arial"/>
          <w:u w:val="single"/>
        </w:rPr>
        <w:t xml:space="preserve">Section </w:t>
      </w:r>
      <w:r w:rsidR="00DC2CA2">
        <w:rPr>
          <w:rFonts w:cs="Arial"/>
          <w:u w:val="single"/>
        </w:rPr>
        <w:fldChar w:fldCharType="begin"/>
      </w:r>
      <w:r w:rsidR="00DC2CA2">
        <w:rPr>
          <w:rFonts w:cs="Arial"/>
          <w:u w:val="single"/>
        </w:rPr>
        <w:instrText xml:space="preserve"> REF _Ref149810908 \w \h </w:instrText>
      </w:r>
      <w:r w:rsidR="00DC2CA2">
        <w:rPr>
          <w:rFonts w:cs="Arial"/>
          <w:u w:val="single"/>
        </w:rPr>
      </w:r>
      <w:r w:rsidR="00DC2CA2">
        <w:rPr>
          <w:rFonts w:cs="Arial"/>
          <w:u w:val="single"/>
        </w:rPr>
        <w:fldChar w:fldCharType="separate"/>
      </w:r>
      <w:r w:rsidR="00DC2CA2">
        <w:rPr>
          <w:rFonts w:cs="Arial"/>
          <w:u w:val="single"/>
        </w:rPr>
        <w:t>19.4(A)</w:t>
      </w:r>
      <w:r w:rsidR="00DC2CA2">
        <w:rPr>
          <w:rFonts w:cs="Arial"/>
          <w:u w:val="single"/>
        </w:rPr>
        <w:fldChar w:fldCharType="end"/>
      </w:r>
      <w:r>
        <w:rPr>
          <w:rFonts w:cs="Arial"/>
        </w:rPr>
        <w:t>.</w:t>
      </w:r>
    </w:p>
    <w:p w14:paraId="6C8C87A7" w14:textId="77777777" w:rsidR="00B63F33" w:rsidRDefault="00B63F33">
      <w:pPr>
        <w:pStyle w:val="BodyTextFirstIndent"/>
        <w:spacing w:after="0"/>
        <w:ind w:right="0"/>
        <w:rPr>
          <w:rFonts w:cs="Arial"/>
        </w:rPr>
      </w:pPr>
    </w:p>
    <w:p w14:paraId="663D0056" w14:textId="2CB7BFFF" w:rsidR="00B63F33" w:rsidRDefault="00B63F33">
      <w:pPr>
        <w:pStyle w:val="BodyTextFirstIndent"/>
        <w:ind w:right="0"/>
        <w:rPr>
          <w:rFonts w:cs="Arial"/>
          <w:b/>
          <w:i/>
          <w:color w:val="FF0000"/>
          <w:sz w:val="20"/>
          <w:szCs w:val="20"/>
        </w:rPr>
      </w:pPr>
      <w:r>
        <w:rPr>
          <w:rFonts w:cs="Arial"/>
        </w:rPr>
        <w:t>“</w:t>
      </w:r>
      <w:r>
        <w:rPr>
          <w:rFonts w:cs="Arial"/>
          <w:u w:val="single"/>
        </w:rPr>
        <w:t>PI System</w:t>
      </w:r>
      <w:r>
        <w:rPr>
          <w:rFonts w:cs="Arial"/>
        </w:rPr>
        <w:t>” means the “plant information” system for the Facility</w:t>
      </w:r>
      <w:r>
        <w:rPr>
          <w:rFonts w:cs="Arial"/>
          <w:lang w:val="en-US"/>
        </w:rPr>
        <w:t xml:space="preserve"> or other data collection systems</w:t>
      </w:r>
      <w:r>
        <w:rPr>
          <w:rFonts w:cs="Arial"/>
        </w:rPr>
        <w:t xml:space="preserve">, as described and implemented in </w:t>
      </w:r>
      <w:r w:rsidR="009076E2" w:rsidRPr="009076E2">
        <w:rPr>
          <w:u w:val="single"/>
        </w:rPr>
        <w:t>Exhibit I - A</w:t>
      </w:r>
      <w:r w:rsidR="009076E2">
        <w:rPr>
          <w:u w:val="single"/>
        </w:rPr>
        <w:t>GC</w:t>
      </w:r>
      <w:r w:rsidR="009076E2" w:rsidRPr="009076E2">
        <w:rPr>
          <w:u w:val="single"/>
        </w:rPr>
        <w:t xml:space="preserve"> Protocols; Data Collection; Availability Reporting</w:t>
      </w:r>
      <w:r>
        <w:rPr>
          <w:rFonts w:cs="Arial"/>
        </w:rPr>
        <w:t xml:space="preserve">.  </w:t>
      </w:r>
    </w:p>
    <w:p w14:paraId="4D42C805" w14:textId="4093BBF6" w:rsidR="00B63F33" w:rsidRPr="00691098" w:rsidRDefault="00B63F33">
      <w:pPr>
        <w:pStyle w:val="BodyTextFirstIndent"/>
        <w:ind w:right="0"/>
      </w:pPr>
      <w:r>
        <w:rPr>
          <w:rFonts w:cs="Arial"/>
        </w:rPr>
        <w:t>“</w:t>
      </w:r>
      <w:r>
        <w:rPr>
          <w:rFonts w:cs="Arial"/>
          <w:u w:val="single"/>
        </w:rPr>
        <w:t>Point of Delivery</w:t>
      </w:r>
      <w:r>
        <w:rPr>
          <w:rFonts w:cs="Arial"/>
        </w:rPr>
        <w:t xml:space="preserve">” </w:t>
      </w:r>
      <w:r>
        <w:t xml:space="preserve">means the physical point within the operational authority of Transmission Authority </w:t>
      </w:r>
      <w:r>
        <w:rPr>
          <w:rFonts w:cs="Arial"/>
        </w:rPr>
        <w:t>at which Seller makes available and delivers to Company the Renewable Energy</w:t>
      </w:r>
      <w:r>
        <w:t xml:space="preserve">.  The Point of Delivery is specified in </w:t>
      </w:r>
      <w:r w:rsidR="009076E2" w:rsidRPr="009076E2">
        <w:rPr>
          <w:u w:val="single"/>
        </w:rPr>
        <w:t>Exhibit C - Facility Description And Site Maps</w:t>
      </w:r>
      <w:r>
        <w:t xml:space="preserve">.  </w:t>
      </w:r>
    </w:p>
    <w:p w14:paraId="16004D6C" w14:textId="4F7FA094" w:rsidR="00B63F33" w:rsidRDefault="00B63F33">
      <w:pPr>
        <w:pStyle w:val="BodyTextFirstIndent"/>
        <w:ind w:right="0"/>
      </w:pPr>
      <w:r>
        <w:t>“</w:t>
      </w:r>
      <w:r>
        <w:rPr>
          <w:u w:val="single"/>
        </w:rPr>
        <w:t>Potential Energy</w:t>
      </w:r>
      <w:r>
        <w:t>” for any period of time means the MWh of energy that the Facility is actually capable of delivering to the Point of Delivery by virtue of the Park Potential during such period</w:t>
      </w:r>
      <w:r>
        <w:rPr>
          <w:lang w:val="en-US"/>
        </w:rPr>
        <w:t>; provided that, for the avoidance of doubt, the maximum net instantaneous output that the Facility shall be deemed to be able to deliver to the Point of Delivery for purposes of determining the Potential Energy shall not exceed the Nameplate Capacity</w:t>
      </w:r>
      <w:r>
        <w:t xml:space="preserve">. </w:t>
      </w:r>
    </w:p>
    <w:p w14:paraId="24A6E767" w14:textId="77777777" w:rsidR="00B63F33" w:rsidRDefault="00B63F33">
      <w:pPr>
        <w:pStyle w:val="BodyTextFirstIndent"/>
        <w:ind w:right="0"/>
        <w:rPr>
          <w:lang w:val="en-US"/>
        </w:rPr>
      </w:pPr>
      <w:r>
        <w:rPr>
          <w:lang w:val="en-US"/>
        </w:rPr>
        <w:t>“</w:t>
      </w:r>
      <w:r>
        <w:rPr>
          <w:u w:val="single"/>
          <w:lang w:val="en-US"/>
        </w:rPr>
        <w:t>PPA</w:t>
      </w:r>
      <w:r>
        <w:rPr>
          <w:lang w:val="en-US"/>
        </w:rPr>
        <w:t xml:space="preserve">” shall have the meaning set forth in the introductory paragraph. </w:t>
      </w:r>
    </w:p>
    <w:p w14:paraId="3208129E" w14:textId="77777777" w:rsidR="00B63F33" w:rsidRDefault="00B63F33">
      <w:pPr>
        <w:pStyle w:val="BodyTextFirstIndent"/>
        <w:ind w:right="0"/>
        <w:rPr>
          <w:lang w:val="en-US"/>
        </w:rPr>
      </w:pPr>
      <w:r>
        <w:rPr>
          <w:lang w:val="en-US"/>
        </w:rPr>
        <w:t>“</w:t>
      </w:r>
      <w:r>
        <w:rPr>
          <w:u w:val="single"/>
          <w:lang w:val="en-US"/>
        </w:rPr>
        <w:t>PSA</w:t>
      </w:r>
      <w:r>
        <w:rPr>
          <w:lang w:val="en-US"/>
        </w:rPr>
        <w:t>” means purchase and sale agreement.</w:t>
      </w:r>
    </w:p>
    <w:p w14:paraId="7ABEF3B6" w14:textId="45C7AAC5" w:rsidR="00B63F33" w:rsidRDefault="000F776F">
      <w:pPr>
        <w:pStyle w:val="BodyTextFirstIndent"/>
        <w:ind w:right="0"/>
        <w:rPr>
          <w:b/>
          <w:sz w:val="20"/>
          <w:szCs w:val="20"/>
          <w:lang w:val="en-US"/>
        </w:rPr>
      </w:pPr>
      <w:r>
        <w:rPr>
          <w:rFonts w:cs="Arial"/>
          <w:lang w:val="en-US"/>
        </w:rPr>
        <w:t>[</w:t>
      </w:r>
      <w:r w:rsidRPr="00B139A0">
        <w:rPr>
          <w:rFonts w:cs="Arial"/>
          <w:sz w:val="22"/>
          <w:szCs w:val="22"/>
          <w:highlight w:val="yellow"/>
          <w:lang w:val="en-US"/>
        </w:rPr>
        <w:t>if applicable</w:t>
      </w:r>
      <w:r>
        <w:rPr>
          <w:rFonts w:cs="Arial"/>
          <w:lang w:val="en-US"/>
        </w:rPr>
        <w:t xml:space="preserve">] </w:t>
      </w:r>
      <w:r w:rsidR="00B63F33">
        <w:t>“</w:t>
      </w:r>
      <w:r w:rsidR="00B63F33">
        <w:rPr>
          <w:u w:val="single"/>
        </w:rPr>
        <w:t>PTCs</w:t>
      </w:r>
      <w:r w:rsidR="00B63F33">
        <w:t xml:space="preserve">” means Production Tax Credits applicable to electricity produced from certain </w:t>
      </w:r>
      <w:r w:rsidR="00B63F33">
        <w:rPr>
          <w:lang w:val="en-US"/>
        </w:rPr>
        <w:t xml:space="preserve">wind energy </w:t>
      </w:r>
      <w:r w:rsidR="00B63F33">
        <w:t>resources pursuant to 26 U.S.C. §45,</w:t>
      </w:r>
      <w:r w:rsidR="00B63F33">
        <w:rPr>
          <w:lang w:val="en-US"/>
        </w:rPr>
        <w:t xml:space="preserve"> </w:t>
      </w:r>
      <w:r w:rsidR="00B63F33">
        <w:t xml:space="preserve">as in effect as of the </w:t>
      </w:r>
      <w:r w:rsidR="00B63F33">
        <w:rPr>
          <w:lang w:val="en-US"/>
        </w:rPr>
        <w:t xml:space="preserve">Effective Date </w:t>
      </w:r>
      <w:r w:rsidR="00B63F33">
        <w:t xml:space="preserve">and as administered and interpreted under Applicable Law as of the </w:t>
      </w:r>
      <w:r w:rsidR="00B63F33">
        <w:rPr>
          <w:lang w:val="en-US"/>
        </w:rPr>
        <w:t>Effective Date</w:t>
      </w:r>
      <w:r w:rsidR="00B63F33">
        <w:t xml:space="preserve">.     </w:t>
      </w:r>
    </w:p>
    <w:p w14:paraId="0A9895CA" w14:textId="17EF2AC6" w:rsidR="00B63F33" w:rsidRDefault="000F776F">
      <w:pPr>
        <w:pStyle w:val="O-BodyText"/>
        <w:spacing w:line="240" w:lineRule="auto"/>
        <w:ind w:firstLine="720"/>
        <w:rPr>
          <w:sz w:val="24"/>
          <w:szCs w:val="24"/>
        </w:rPr>
      </w:pPr>
      <w:r>
        <w:rPr>
          <w:rFonts w:cs="Arial"/>
        </w:rPr>
        <w:lastRenderedPageBreak/>
        <w:t>[</w:t>
      </w:r>
      <w:r w:rsidRPr="00B139A0">
        <w:rPr>
          <w:rFonts w:cs="Arial"/>
          <w:sz w:val="22"/>
          <w:szCs w:val="22"/>
          <w:highlight w:val="yellow"/>
        </w:rPr>
        <w:t>if applicable</w:t>
      </w:r>
      <w:r>
        <w:rPr>
          <w:rFonts w:cs="Arial"/>
        </w:rPr>
        <w:t xml:space="preserve">] </w:t>
      </w:r>
      <w:r w:rsidR="00B63F33">
        <w:rPr>
          <w:sz w:val="24"/>
          <w:szCs w:val="24"/>
        </w:rPr>
        <w:t>“</w:t>
      </w:r>
      <w:r w:rsidR="00B63F33">
        <w:rPr>
          <w:sz w:val="24"/>
          <w:szCs w:val="24"/>
          <w:u w:val="single"/>
        </w:rPr>
        <w:t>PTC Period</w:t>
      </w:r>
      <w:r w:rsidR="00B63F33">
        <w:rPr>
          <w:sz w:val="24"/>
          <w:szCs w:val="24"/>
        </w:rPr>
        <w:t>” means the period starting on the Commercial Operation Date and ending on the tenth (10</w:t>
      </w:r>
      <w:r w:rsidR="00B63F33">
        <w:rPr>
          <w:sz w:val="24"/>
          <w:szCs w:val="24"/>
          <w:vertAlign w:val="superscript"/>
        </w:rPr>
        <w:t>th</w:t>
      </w:r>
      <w:r w:rsidR="00B63F33">
        <w:rPr>
          <w:sz w:val="24"/>
          <w:szCs w:val="24"/>
        </w:rPr>
        <w:t xml:space="preserve">) anniversary of the Commercial Operation Date. </w:t>
      </w:r>
    </w:p>
    <w:p w14:paraId="1AB725DA" w14:textId="573445C3" w:rsidR="00B63F33" w:rsidRDefault="00B63F33">
      <w:pPr>
        <w:pStyle w:val="BodyTextFirstIndent"/>
        <w:ind w:right="0"/>
      </w:pPr>
      <w:r>
        <w:t>“</w:t>
      </w:r>
      <w:r>
        <w:rPr>
          <w:u w:val="single"/>
        </w:rPr>
        <w:t>PUC Approval</w:t>
      </w:r>
      <w:r>
        <w:t xml:space="preserve">” shall </w:t>
      </w:r>
      <w:r>
        <w:rPr>
          <w:rFonts w:cs="Arial"/>
        </w:rPr>
        <w:t>have the meaning set forth in</w:t>
      </w:r>
      <w:r>
        <w:t xml:space="preserve"> </w:t>
      </w:r>
      <w:r>
        <w:rPr>
          <w:u w:val="single"/>
        </w:rPr>
        <w:t xml:space="preserve">Section </w:t>
      </w:r>
      <w:r w:rsidR="00DC2CA2">
        <w:rPr>
          <w:u w:val="single"/>
        </w:rPr>
        <w:fldChar w:fldCharType="begin"/>
      </w:r>
      <w:r w:rsidR="00DC2CA2">
        <w:rPr>
          <w:u w:val="single"/>
        </w:rPr>
        <w:instrText xml:space="preserve"> REF _Ref149810934 \w \h </w:instrText>
      </w:r>
      <w:r w:rsidR="00DC2CA2">
        <w:rPr>
          <w:u w:val="single"/>
        </w:rPr>
      </w:r>
      <w:r w:rsidR="00DC2CA2">
        <w:rPr>
          <w:u w:val="single"/>
        </w:rPr>
        <w:fldChar w:fldCharType="separate"/>
      </w:r>
      <w:r w:rsidR="00DC2CA2">
        <w:rPr>
          <w:u w:val="single"/>
        </w:rPr>
        <w:t>6.1(D)</w:t>
      </w:r>
      <w:r w:rsidR="00DC2CA2">
        <w:rPr>
          <w:u w:val="single"/>
        </w:rPr>
        <w:fldChar w:fldCharType="end"/>
      </w:r>
      <w:r>
        <w:t>.</w:t>
      </w:r>
    </w:p>
    <w:p w14:paraId="31B99E12" w14:textId="0B65282E" w:rsidR="006C6F3A" w:rsidRPr="005C125A" w:rsidRDefault="006C6F3A">
      <w:pPr>
        <w:pStyle w:val="BodyTextFirstIndent"/>
        <w:ind w:right="0"/>
        <w:rPr>
          <w:lang w:val="en-US"/>
        </w:rPr>
      </w:pPr>
      <w:r w:rsidRPr="005C125A">
        <w:rPr>
          <w:lang w:val="en-US"/>
        </w:rPr>
        <w:t>“</w:t>
      </w:r>
      <w:r w:rsidRPr="005C125A">
        <w:rPr>
          <w:u w:val="single"/>
          <w:lang w:val="en-US"/>
        </w:rPr>
        <w:t>Purchase Price</w:t>
      </w:r>
      <w:r w:rsidRPr="005C125A">
        <w:rPr>
          <w:lang w:val="en-US"/>
        </w:rPr>
        <w:t xml:space="preserve">” </w:t>
      </w:r>
      <w:r w:rsidR="00ED339B" w:rsidRPr="005C125A">
        <w:rPr>
          <w:lang w:val="en-US"/>
        </w:rPr>
        <w:t xml:space="preserve">shall have </w:t>
      </w:r>
      <w:r w:rsidRPr="005C125A">
        <w:rPr>
          <w:lang w:val="en-US"/>
        </w:rPr>
        <w:t xml:space="preserve">the meaning </w:t>
      </w:r>
      <w:proofErr w:type="gramStart"/>
      <w:r w:rsidRPr="005C125A">
        <w:rPr>
          <w:lang w:val="en-US"/>
        </w:rPr>
        <w:t>set forth in</w:t>
      </w:r>
      <w:proofErr w:type="gramEnd"/>
      <w:r w:rsidRPr="005C125A">
        <w:rPr>
          <w:lang w:val="en-US"/>
        </w:rPr>
        <w:t xml:space="preserve"> </w:t>
      </w:r>
      <w:r w:rsidRPr="005C125A">
        <w:rPr>
          <w:u w:val="single"/>
          <w:lang w:val="en-US"/>
        </w:rPr>
        <w:t xml:space="preserve">Section </w:t>
      </w:r>
      <w:r w:rsidR="00DC2CA2" w:rsidRPr="005C125A">
        <w:rPr>
          <w:u w:val="single"/>
          <w:lang w:val="en-US"/>
        </w:rPr>
        <w:fldChar w:fldCharType="begin"/>
      </w:r>
      <w:r w:rsidR="00DC2CA2" w:rsidRPr="005C125A">
        <w:rPr>
          <w:u w:val="single"/>
          <w:lang w:val="en-US"/>
        </w:rPr>
        <w:instrText xml:space="preserve"> REF _Ref149810950 \w \h </w:instrText>
      </w:r>
      <w:r w:rsidR="00DC2CA2" w:rsidRPr="005C125A">
        <w:rPr>
          <w:u w:val="single"/>
          <w:lang w:val="en-US"/>
        </w:rPr>
      </w:r>
      <w:r w:rsidR="00DC2CA2" w:rsidRPr="005C125A">
        <w:rPr>
          <w:u w:val="single"/>
          <w:lang w:val="en-US"/>
        </w:rPr>
        <w:fldChar w:fldCharType="separate"/>
      </w:r>
      <w:r w:rsidR="00DC2CA2" w:rsidRPr="005C125A">
        <w:rPr>
          <w:u w:val="single"/>
          <w:lang w:val="en-US"/>
        </w:rPr>
        <w:t>19.5(G)</w:t>
      </w:r>
      <w:r w:rsidR="00DC2CA2" w:rsidRPr="005C125A">
        <w:rPr>
          <w:u w:val="single"/>
          <w:lang w:val="en-US"/>
        </w:rPr>
        <w:fldChar w:fldCharType="end"/>
      </w:r>
    </w:p>
    <w:p w14:paraId="70238569" w14:textId="34F3F518" w:rsidR="00DB646C" w:rsidRPr="00435CA1" w:rsidRDefault="00B63F33" w:rsidP="00435CA1">
      <w:pPr>
        <w:pStyle w:val="BodyTextFirstIndent"/>
        <w:spacing w:after="60"/>
        <w:ind w:right="0"/>
        <w:rPr>
          <w:b/>
          <w:i/>
          <w:sz w:val="20"/>
        </w:rPr>
      </w:pPr>
      <w:r w:rsidRPr="005C125A">
        <w:t>“</w:t>
      </w:r>
      <w:r w:rsidRPr="005C125A">
        <w:rPr>
          <w:u w:val="single"/>
        </w:rPr>
        <w:t>REC Registration Program</w:t>
      </w:r>
      <w:r w:rsidRPr="005C125A">
        <w:t xml:space="preserve">” means the </w:t>
      </w:r>
      <w:r w:rsidRPr="005C125A">
        <w:rPr>
          <w:lang w:val="en-US"/>
        </w:rPr>
        <w:t xml:space="preserve">current or successor </w:t>
      </w:r>
      <w:r w:rsidRPr="005C125A">
        <w:t>State, regional, or federal program established to register Eligible Energy Resources, and create and certify RECs arising from such Resources, including any rights associated with any renewable energy information or tracking system that exists or may be established by Applicable Law with regard to monitoring, registering, tracking, certifying, or trading such credits.   For purposes of this PPA, the REC Registration program shall mean</w:t>
      </w:r>
      <w:r w:rsidR="00435CA1">
        <w:rPr>
          <w:lang w:val="en-US"/>
        </w:rPr>
        <w:t xml:space="preserve"> </w:t>
      </w:r>
      <w:r w:rsidR="00D16A93" w:rsidRPr="005C125A">
        <w:rPr>
          <w:rFonts w:cs="Arial"/>
        </w:rPr>
        <w:t xml:space="preserve">the Midwest Renewable Energy Tracking System (M-RETS). </w:t>
      </w:r>
    </w:p>
    <w:p w14:paraId="218F0C6F" w14:textId="77777777" w:rsidR="008F7F3C" w:rsidRDefault="008F7F3C" w:rsidP="0076053F">
      <w:pPr>
        <w:pStyle w:val="BodyTextFirstIndent"/>
        <w:rPr>
          <w:color w:val="000000" w:themeColor="text1"/>
        </w:rPr>
      </w:pPr>
      <w:bookmarkStart w:id="714" w:name="_cp_change_203"/>
    </w:p>
    <w:p w14:paraId="2EF9D294" w14:textId="003C3A23" w:rsidR="00425888" w:rsidRPr="00957850" w:rsidRDefault="0076053F" w:rsidP="0076053F">
      <w:pPr>
        <w:pStyle w:val="BodyTextFirstIndent"/>
        <w:rPr>
          <w:color w:val="000000" w:themeColor="text1"/>
          <w:lang w:val="en-US"/>
        </w:rPr>
      </w:pPr>
      <w:r w:rsidRPr="00957850">
        <w:rPr>
          <w:color w:val="000000" w:themeColor="text1"/>
        </w:rPr>
        <w:t>“</w:t>
      </w:r>
      <w:r w:rsidRPr="00957850">
        <w:rPr>
          <w:color w:val="000000" w:themeColor="text1"/>
          <w:u w:val="single"/>
          <w:lang w:val="en-US"/>
        </w:rPr>
        <w:t>Real Time Data</w:t>
      </w:r>
      <w:r w:rsidRPr="00957850">
        <w:rPr>
          <w:color w:val="000000" w:themeColor="text1"/>
          <w:lang w:val="en-US"/>
        </w:rPr>
        <w:t xml:space="preserve">” shall have the meaning set forth in </w:t>
      </w:r>
      <w:r w:rsidRPr="00435CA1">
        <w:rPr>
          <w:color w:val="000000" w:themeColor="text1"/>
          <w:u w:val="single"/>
          <w:lang w:val="en-US"/>
        </w:rPr>
        <w:t>Section 10.5</w:t>
      </w:r>
      <w:r w:rsidRPr="00957850">
        <w:rPr>
          <w:color w:val="000000" w:themeColor="text1"/>
          <w:lang w:val="en-US"/>
        </w:rPr>
        <w:t>.</w:t>
      </w:r>
      <w:bookmarkStart w:id="715" w:name="_cp_change_202"/>
      <w:bookmarkEnd w:id="714"/>
    </w:p>
    <w:p w14:paraId="2AE1A886" w14:textId="7FF3ED80" w:rsidR="0076053F" w:rsidRDefault="007C1128" w:rsidP="0076053F">
      <w:pPr>
        <w:pStyle w:val="BodyTextFirstIndent"/>
        <w:rPr>
          <w:color w:val="0000FF"/>
          <w:u w:val="double"/>
        </w:rPr>
      </w:pPr>
      <w:bookmarkStart w:id="716" w:name="_cp_change_205"/>
      <w:bookmarkEnd w:id="715"/>
      <w:r w:rsidRPr="00957850">
        <w:rPr>
          <w:color w:val="000000" w:themeColor="text1"/>
          <w:lang w:val="en-US"/>
        </w:rPr>
        <w:t>“</w:t>
      </w:r>
      <w:r w:rsidRPr="00957850">
        <w:rPr>
          <w:color w:val="000000" w:themeColor="text1"/>
          <w:u w:val="single"/>
        </w:rPr>
        <w:t>Recovery Plan</w:t>
      </w:r>
      <w:r w:rsidRPr="00957850">
        <w:rPr>
          <w:color w:val="000000" w:themeColor="text1"/>
        </w:rPr>
        <w:t xml:space="preserve">” means, with respect to Seller’s failure to achieve a Critical Path Development Milestone under </w:t>
      </w:r>
      <w:r w:rsidRPr="00957850">
        <w:rPr>
          <w:color w:val="000000" w:themeColor="text1"/>
          <w:u w:val="single"/>
        </w:rPr>
        <w:t xml:space="preserve">Section </w:t>
      </w:r>
      <w:r w:rsidR="00DC2CA2">
        <w:rPr>
          <w:color w:val="000000" w:themeColor="text1"/>
          <w:u w:val="single"/>
        </w:rPr>
        <w:fldChar w:fldCharType="begin"/>
      </w:r>
      <w:r w:rsidR="00DC2CA2">
        <w:rPr>
          <w:color w:val="000000" w:themeColor="text1"/>
          <w:u w:val="single"/>
        </w:rPr>
        <w:instrText xml:space="preserve"> REF _Ref149742902 \w \h </w:instrText>
      </w:r>
      <w:r w:rsidR="00DC2CA2">
        <w:rPr>
          <w:color w:val="000000" w:themeColor="text1"/>
          <w:u w:val="single"/>
        </w:rPr>
      </w:r>
      <w:r w:rsidR="00DC2CA2">
        <w:rPr>
          <w:color w:val="000000" w:themeColor="text1"/>
          <w:u w:val="single"/>
        </w:rPr>
        <w:fldChar w:fldCharType="separate"/>
      </w:r>
      <w:r w:rsidR="00DC2CA2">
        <w:rPr>
          <w:color w:val="000000" w:themeColor="text1"/>
          <w:u w:val="single"/>
        </w:rPr>
        <w:t>4.1(B)</w:t>
      </w:r>
      <w:r w:rsidR="00DC2CA2">
        <w:rPr>
          <w:color w:val="000000" w:themeColor="text1"/>
          <w:u w:val="single"/>
        </w:rPr>
        <w:fldChar w:fldCharType="end"/>
      </w:r>
      <w:r w:rsidRPr="00957850">
        <w:rPr>
          <w:color w:val="000000" w:themeColor="text1"/>
        </w:rPr>
        <w:t xml:space="preserve">, a plan (confirmed by a qualified consultant, vendor or expert reasonably acceptable to Company) indicating in sufficient detail, </w:t>
      </w:r>
      <w:r w:rsidRPr="00957850">
        <w:rPr>
          <w:color w:val="000000" w:themeColor="text1"/>
          <w:lang w:val="en-US"/>
        </w:rPr>
        <w:t xml:space="preserve">and </w:t>
      </w:r>
      <w:r w:rsidRPr="00957850">
        <w:rPr>
          <w:color w:val="000000" w:themeColor="text1"/>
        </w:rPr>
        <w:t xml:space="preserve">to Company’s reasonable satisfaction, the steps to be taken by Seller to achieve the missed Critical Path Development Milestone by a date certain, which date shall be the earliest reasonable date for achievement of the Critical Path Development Milestone, but shall not exceed ninety (90) days following the completion deadline set forth in </w:t>
      </w:r>
      <w:r w:rsidRPr="005357FF">
        <w:rPr>
          <w:color w:val="000000" w:themeColor="text1"/>
          <w:u w:val="single"/>
        </w:rPr>
        <w:t xml:space="preserve">Section </w:t>
      </w:r>
      <w:r w:rsidR="00990857" w:rsidRPr="005357FF">
        <w:rPr>
          <w:color w:val="000000" w:themeColor="text1"/>
          <w:u w:val="single"/>
        </w:rPr>
        <w:fldChar w:fldCharType="begin"/>
      </w:r>
      <w:r w:rsidR="00990857" w:rsidRPr="005357FF">
        <w:rPr>
          <w:color w:val="000000" w:themeColor="text1"/>
          <w:u w:val="single"/>
        </w:rPr>
        <w:instrText xml:space="preserve"> REF _Ref149742902 \w \h </w:instrText>
      </w:r>
      <w:r w:rsidR="00990857">
        <w:rPr>
          <w:color w:val="000000" w:themeColor="text1"/>
          <w:u w:val="single"/>
        </w:rPr>
        <w:instrText xml:space="preserve"> \* MERGEFORMAT </w:instrText>
      </w:r>
      <w:r w:rsidR="00990857" w:rsidRPr="005357FF">
        <w:rPr>
          <w:color w:val="000000" w:themeColor="text1"/>
          <w:u w:val="single"/>
        </w:rPr>
      </w:r>
      <w:r w:rsidR="00990857" w:rsidRPr="005357FF">
        <w:rPr>
          <w:color w:val="000000" w:themeColor="text1"/>
          <w:u w:val="single"/>
        </w:rPr>
        <w:fldChar w:fldCharType="separate"/>
      </w:r>
      <w:r w:rsidR="00990857" w:rsidRPr="005357FF">
        <w:rPr>
          <w:color w:val="000000" w:themeColor="text1"/>
          <w:u w:val="single"/>
        </w:rPr>
        <w:t>4.1(B)</w:t>
      </w:r>
      <w:r w:rsidR="00990857" w:rsidRPr="005357FF">
        <w:rPr>
          <w:color w:val="000000" w:themeColor="text1"/>
          <w:u w:val="single"/>
        </w:rPr>
        <w:fldChar w:fldCharType="end"/>
      </w:r>
      <w:r w:rsidRPr="00957850">
        <w:rPr>
          <w:color w:val="000000" w:themeColor="text1"/>
        </w:rPr>
        <w:t xml:space="preserve"> for such Critical Path Development Milestone. If the date certain identified in a Recovery Plan is later than the completion deadline(s) for any other Critical Path Development Milestone(s) (as those deadlines are set forth in </w:t>
      </w:r>
      <w:r w:rsidRPr="005357FF">
        <w:rPr>
          <w:color w:val="000000" w:themeColor="text1"/>
          <w:u w:val="single"/>
        </w:rPr>
        <w:t xml:space="preserve">Section </w:t>
      </w:r>
      <w:r w:rsidR="00990857" w:rsidRPr="005357FF">
        <w:rPr>
          <w:color w:val="000000" w:themeColor="text1"/>
          <w:u w:val="single"/>
        </w:rPr>
        <w:fldChar w:fldCharType="begin"/>
      </w:r>
      <w:r w:rsidR="00990857" w:rsidRPr="005357FF">
        <w:rPr>
          <w:color w:val="000000" w:themeColor="text1"/>
          <w:u w:val="single"/>
        </w:rPr>
        <w:instrText xml:space="preserve"> REF _Ref149742902 \w \h </w:instrText>
      </w:r>
      <w:r w:rsidR="00990857">
        <w:rPr>
          <w:color w:val="000000" w:themeColor="text1"/>
          <w:u w:val="single"/>
        </w:rPr>
        <w:instrText xml:space="preserve"> \* MERGEFORMAT </w:instrText>
      </w:r>
      <w:r w:rsidR="00990857" w:rsidRPr="005357FF">
        <w:rPr>
          <w:color w:val="000000" w:themeColor="text1"/>
          <w:u w:val="single"/>
        </w:rPr>
      </w:r>
      <w:r w:rsidR="00990857" w:rsidRPr="005357FF">
        <w:rPr>
          <w:color w:val="000000" w:themeColor="text1"/>
          <w:u w:val="single"/>
        </w:rPr>
        <w:fldChar w:fldCharType="separate"/>
      </w:r>
      <w:r w:rsidR="00990857" w:rsidRPr="005357FF">
        <w:rPr>
          <w:color w:val="000000" w:themeColor="text1"/>
          <w:u w:val="single"/>
        </w:rPr>
        <w:t>4.1(B)</w:t>
      </w:r>
      <w:r w:rsidR="00990857" w:rsidRPr="005357FF">
        <w:rPr>
          <w:color w:val="000000" w:themeColor="text1"/>
          <w:u w:val="single"/>
        </w:rPr>
        <w:fldChar w:fldCharType="end"/>
      </w:r>
      <w:r w:rsidRPr="00957850">
        <w:rPr>
          <w:color w:val="000000" w:themeColor="text1"/>
        </w:rPr>
        <w:t xml:space="preserve">), then such Recovery Plan shall also describe the impacts, if any, to such other Critical Path Development Milestone(s); </w:t>
      </w:r>
      <w:r w:rsidRPr="00957850">
        <w:rPr>
          <w:i/>
          <w:iCs/>
          <w:color w:val="000000" w:themeColor="text1"/>
        </w:rPr>
        <w:t>provided, however</w:t>
      </w:r>
      <w:r w:rsidRPr="00957850">
        <w:rPr>
          <w:color w:val="000000" w:themeColor="text1"/>
        </w:rPr>
        <w:t xml:space="preserve">, that Seller shall remain responsible for achieving such other Critical Path Development Milestone(s), as set forth in </w:t>
      </w:r>
      <w:r w:rsidRPr="00957850">
        <w:rPr>
          <w:color w:val="000000" w:themeColor="text1"/>
          <w:u w:val="single"/>
        </w:rPr>
        <w:t xml:space="preserve">Section </w:t>
      </w:r>
      <w:r w:rsidR="00990857">
        <w:rPr>
          <w:color w:val="000000" w:themeColor="text1"/>
          <w:u w:val="single"/>
        </w:rPr>
        <w:fldChar w:fldCharType="begin"/>
      </w:r>
      <w:r w:rsidR="00990857">
        <w:rPr>
          <w:color w:val="000000" w:themeColor="text1"/>
          <w:u w:val="single"/>
        </w:rPr>
        <w:instrText xml:space="preserve"> REF _Ref149742902 \w \h </w:instrText>
      </w:r>
      <w:r w:rsidR="00990857">
        <w:rPr>
          <w:color w:val="000000" w:themeColor="text1"/>
          <w:u w:val="single"/>
        </w:rPr>
      </w:r>
      <w:r w:rsidR="00990857">
        <w:rPr>
          <w:color w:val="000000" w:themeColor="text1"/>
          <w:u w:val="single"/>
        </w:rPr>
        <w:fldChar w:fldCharType="separate"/>
      </w:r>
      <w:r w:rsidR="00990857">
        <w:rPr>
          <w:color w:val="000000" w:themeColor="text1"/>
          <w:u w:val="single"/>
        </w:rPr>
        <w:t>4.1(B)</w:t>
      </w:r>
      <w:r w:rsidR="00990857">
        <w:rPr>
          <w:color w:val="000000" w:themeColor="text1"/>
          <w:u w:val="single"/>
        </w:rPr>
        <w:fldChar w:fldCharType="end"/>
      </w:r>
      <w:r w:rsidRPr="00957850">
        <w:rPr>
          <w:color w:val="000000" w:themeColor="text1"/>
        </w:rPr>
        <w:t xml:space="preserve">, </w:t>
      </w:r>
      <w:r w:rsidRPr="00957850">
        <w:rPr>
          <w:color w:val="000000" w:themeColor="text1"/>
          <w:u w:val="single"/>
        </w:rPr>
        <w:t xml:space="preserve">Section </w:t>
      </w:r>
      <w:r w:rsidR="00990857">
        <w:rPr>
          <w:color w:val="000000" w:themeColor="text1"/>
          <w:u w:val="single"/>
        </w:rPr>
        <w:fldChar w:fldCharType="begin"/>
      </w:r>
      <w:r w:rsidR="00990857">
        <w:rPr>
          <w:color w:val="000000" w:themeColor="text1"/>
          <w:u w:val="single"/>
        </w:rPr>
        <w:instrText xml:space="preserve"> REF _Ref149742884 \w \h </w:instrText>
      </w:r>
      <w:r w:rsidR="00990857">
        <w:rPr>
          <w:color w:val="000000" w:themeColor="text1"/>
          <w:u w:val="single"/>
        </w:rPr>
      </w:r>
      <w:r w:rsidR="00990857">
        <w:rPr>
          <w:color w:val="000000" w:themeColor="text1"/>
          <w:u w:val="single"/>
        </w:rPr>
        <w:fldChar w:fldCharType="separate"/>
      </w:r>
      <w:r w:rsidR="00990857">
        <w:rPr>
          <w:color w:val="000000" w:themeColor="text1"/>
          <w:u w:val="single"/>
        </w:rPr>
        <w:t>12.2(A)</w:t>
      </w:r>
      <w:r w:rsidR="00990857">
        <w:rPr>
          <w:color w:val="000000" w:themeColor="text1"/>
          <w:u w:val="single"/>
        </w:rPr>
        <w:fldChar w:fldCharType="end"/>
      </w:r>
      <w:r w:rsidRPr="00957850">
        <w:rPr>
          <w:color w:val="000000" w:themeColor="text1"/>
        </w:rPr>
        <w:t xml:space="preserve">, and </w:t>
      </w:r>
      <w:r w:rsidRPr="00BE08EC">
        <w:rPr>
          <w:color w:val="000000" w:themeColor="text1"/>
          <w:u w:val="single"/>
        </w:rPr>
        <w:t xml:space="preserve">Section </w:t>
      </w:r>
      <w:r w:rsidR="00990857">
        <w:rPr>
          <w:color w:val="000000" w:themeColor="text1"/>
          <w:u w:val="single"/>
        </w:rPr>
        <w:fldChar w:fldCharType="begin"/>
      </w:r>
      <w:r w:rsidR="00990857">
        <w:rPr>
          <w:color w:val="000000" w:themeColor="text1"/>
          <w:u w:val="single"/>
        </w:rPr>
        <w:instrText xml:space="preserve"> REF _Ref149742928 \w \h </w:instrText>
      </w:r>
      <w:r w:rsidR="00990857">
        <w:rPr>
          <w:color w:val="000000" w:themeColor="text1"/>
          <w:u w:val="single"/>
        </w:rPr>
      </w:r>
      <w:r w:rsidR="00990857">
        <w:rPr>
          <w:color w:val="000000" w:themeColor="text1"/>
          <w:u w:val="single"/>
        </w:rPr>
        <w:fldChar w:fldCharType="separate"/>
      </w:r>
      <w:r w:rsidR="00990857">
        <w:rPr>
          <w:color w:val="000000" w:themeColor="text1"/>
          <w:u w:val="single"/>
        </w:rPr>
        <w:t>12.2(B)</w:t>
      </w:r>
      <w:r w:rsidR="00990857">
        <w:rPr>
          <w:color w:val="000000" w:themeColor="text1"/>
          <w:u w:val="single"/>
        </w:rPr>
        <w:fldChar w:fldCharType="end"/>
      </w:r>
      <w:r w:rsidRPr="00957850">
        <w:rPr>
          <w:color w:val="000000" w:themeColor="text1"/>
        </w:rPr>
        <w:t>.</w:t>
      </w:r>
      <w:bookmarkStart w:id="717" w:name="_cp_change_204"/>
      <w:bookmarkEnd w:id="716"/>
    </w:p>
    <w:bookmarkEnd w:id="717"/>
    <w:p w14:paraId="1280EEE2" w14:textId="79AE3625" w:rsidR="00E46C96" w:rsidRPr="00051FE7" w:rsidRDefault="00E46C96" w:rsidP="00051FE7">
      <w:pPr>
        <w:pStyle w:val="BodyTextFirstIndent"/>
        <w:ind w:right="0"/>
        <w:rPr>
          <w:lang w:val="en-US"/>
        </w:rPr>
      </w:pPr>
      <w:r w:rsidRPr="005C125A">
        <w:t>“</w:t>
      </w:r>
      <w:r w:rsidRPr="005C125A">
        <w:rPr>
          <w:u w:val="single"/>
        </w:rPr>
        <w:t>Renewable Energy</w:t>
      </w:r>
      <w:r w:rsidRPr="005C125A">
        <w:t xml:space="preserve">” means all electric energy generated by the Facility and delivered to Company at the Point of Delivery during the Term, </w:t>
      </w:r>
      <w:bookmarkStart w:id="718" w:name="_Hlk55369048"/>
      <w:r w:rsidRPr="005C125A">
        <w:t>including all Test Energy and any Excess Energy purchased by Company.</w:t>
      </w:r>
      <w:bookmarkEnd w:id="718"/>
      <w:r w:rsidRPr="005C125A">
        <w:t xml:space="preserve">  “Renewable Energy” shall be deemed to include all </w:t>
      </w:r>
      <w:r w:rsidRPr="005C125A">
        <w:rPr>
          <w:lang w:val="en-US"/>
        </w:rPr>
        <w:t xml:space="preserve">Environmental Attributes </w:t>
      </w:r>
      <w:r w:rsidRPr="005C125A">
        <w:t xml:space="preserve">associated with such electric energy.  </w:t>
      </w:r>
      <w:bookmarkStart w:id="719" w:name="_Hlk55369453"/>
      <w:r>
        <w:t xml:space="preserve"> </w:t>
      </w:r>
    </w:p>
    <w:bookmarkEnd w:id="719"/>
    <w:p w14:paraId="09416A39" w14:textId="2488A8FE" w:rsidR="00B63F33" w:rsidRDefault="00B63F33" w:rsidP="008F7F3C">
      <w:pPr>
        <w:pStyle w:val="BodyTextFirstIndent"/>
        <w:ind w:right="0" w:firstLine="360"/>
        <w:rPr>
          <w:rFonts w:cs="Arial"/>
        </w:rPr>
      </w:pPr>
      <w:r>
        <w:rPr>
          <w:rFonts w:cs="Arial"/>
        </w:rPr>
        <w:t>“</w:t>
      </w:r>
      <w:r>
        <w:rPr>
          <w:rFonts w:cs="Arial"/>
          <w:u w:val="single"/>
        </w:rPr>
        <w:t>Renewable Energy Credits</w:t>
      </w:r>
      <w:r>
        <w:rPr>
          <w:rFonts w:cs="Arial"/>
        </w:rPr>
        <w:t>” or “</w:t>
      </w:r>
      <w:r>
        <w:rPr>
          <w:rFonts w:cs="Arial"/>
          <w:u w:val="single"/>
        </w:rPr>
        <w:t>RECs</w:t>
      </w:r>
      <w:r>
        <w:rPr>
          <w:rFonts w:cs="Arial"/>
        </w:rPr>
        <w:t>” means the right to all non-energy attributes (including economic, carbon and pollutant-related tags and credits, benefits, avoided or reduced emissions reductions, offsets, emission rate reductions, tags and allowances, howsoever titled) attributable to the capacity available and/or energy generated by the Facility, including environmental air quality credits, tags and allowances created by Applicable Law by virtue of the Facility’s environmentally favorable or renewable characteristics or attributes.  “RECs” includes but is not necessarily limited to rights eligible for registration, trading and/or use under the REC Registration Program</w:t>
      </w:r>
      <w:r w:rsidRPr="005C125A">
        <w:rPr>
          <w:rFonts w:cs="Arial"/>
        </w:rPr>
        <w:t xml:space="preserve">. </w:t>
      </w:r>
      <w:bookmarkStart w:id="720" w:name="_Hlk46134897"/>
      <w:r w:rsidR="00D16A93">
        <w:rPr>
          <w:rFonts w:cs="Arial"/>
        </w:rPr>
        <w:t xml:space="preserve">In Minnesota and Wisconsin, “REC” shall include renewable energy credits (as used in </w:t>
      </w:r>
      <w:r w:rsidR="00D16A93">
        <w:rPr>
          <w:rFonts w:cs="Arial"/>
        </w:rPr>
        <w:lastRenderedPageBreak/>
        <w:t>§7835-5950 of the Minnesota Administrative Rules), and renewable energy certificates (as defined in PSC 118.02 of the Wisconsin Administrative Code) with respect to one MWh of Renewable Energy, as applicable.</w:t>
      </w:r>
    </w:p>
    <w:p w14:paraId="2D94BC1A" w14:textId="26E95871" w:rsidR="00B63F33" w:rsidRDefault="00B63F33">
      <w:pPr>
        <w:pStyle w:val="BodyTextFirstIndent"/>
        <w:ind w:right="0"/>
      </w:pPr>
      <w:r>
        <w:t>“</w:t>
      </w:r>
      <w:r>
        <w:rPr>
          <w:u w:val="single"/>
          <w:lang w:val="en-US"/>
        </w:rPr>
        <w:t>Renewable</w:t>
      </w:r>
      <w:r>
        <w:rPr>
          <w:lang w:val="en-US"/>
        </w:rPr>
        <w:t xml:space="preserve"> </w:t>
      </w:r>
      <w:r>
        <w:rPr>
          <w:u w:val="single"/>
        </w:rPr>
        <w:t>Energy Payment Rate</w:t>
      </w:r>
      <w:r>
        <w:t xml:space="preserve">” shall have the meaning set forth in </w:t>
      </w:r>
      <w:r w:rsidR="000E4265" w:rsidRPr="000E4265">
        <w:rPr>
          <w:u w:val="single"/>
        </w:rPr>
        <w:t>Exhibit J</w:t>
      </w:r>
      <w:r w:rsidR="000E4265" w:rsidRPr="000E4265">
        <w:rPr>
          <w:u w:val="single"/>
          <w:lang w:val="en-US"/>
        </w:rPr>
        <w:t xml:space="preserve"> – </w:t>
      </w:r>
      <w:r w:rsidR="000E4265" w:rsidRPr="000E4265">
        <w:rPr>
          <w:u w:val="single"/>
        </w:rPr>
        <w:t>R</w:t>
      </w:r>
      <w:r w:rsidR="000E4265" w:rsidRPr="000E4265">
        <w:rPr>
          <w:u w:val="single"/>
          <w:lang w:val="en-US"/>
        </w:rPr>
        <w:t>enewable Energy Payment Rate</w:t>
      </w:r>
      <w:r w:rsidR="000E4265" w:rsidRPr="000E4265">
        <w:rPr>
          <w:u w:val="single"/>
        </w:rPr>
        <w:t>; C</w:t>
      </w:r>
      <w:r w:rsidR="000E4265" w:rsidRPr="000E4265">
        <w:rPr>
          <w:u w:val="single"/>
          <w:lang w:val="en-US"/>
        </w:rPr>
        <w:t>ommitted Energy</w:t>
      </w:r>
      <w:r>
        <w:t>.</w:t>
      </w:r>
    </w:p>
    <w:bookmarkEnd w:id="720"/>
    <w:p w14:paraId="3E00F3CB" w14:textId="77777777" w:rsidR="00B63F33" w:rsidRDefault="00B63F33">
      <w:pPr>
        <w:pStyle w:val="BodyTextFirstIndent"/>
        <w:ind w:right="0"/>
      </w:pPr>
      <w:r>
        <w:t>“</w:t>
      </w:r>
      <w:r>
        <w:rPr>
          <w:u w:val="single"/>
        </w:rPr>
        <w:t>Replacement Power Costs</w:t>
      </w:r>
      <w:r>
        <w:t xml:space="preserve">” for any period mean the costs incurred by Company to replace the products and services </w:t>
      </w:r>
      <w:r>
        <w:rPr>
          <w:lang w:val="en-US"/>
        </w:rPr>
        <w:t>which</w:t>
      </w:r>
      <w:r>
        <w:t xml:space="preserve"> Seller was required to provide under this PPA (but failed to so provide) during such period, less the sum of any payments from Company to Seller under this PPA that were eliminated </w:t>
      </w:r>
      <w:r>
        <w:rPr>
          <w:lang w:val="en-US"/>
        </w:rPr>
        <w:t>with respect to</w:t>
      </w:r>
      <w:r>
        <w:t xml:space="preserve"> such period as a result of such failure.  Replacement Power Costs shall be determined on an hourly basis and shall equal the sum of the following for each hour where the following calculation achieves a positive number:  </w:t>
      </w:r>
    </w:p>
    <w:p w14:paraId="459599BC" w14:textId="77777777" w:rsidR="00B63F33" w:rsidRDefault="00B63F33">
      <w:pPr>
        <w:pStyle w:val="BodyTextFirstIndent"/>
        <w:ind w:left="720" w:right="0"/>
      </w:pPr>
      <w:r>
        <w:t>Hourly Replacement Power Costs = (A + B + C + D) – E, where</w:t>
      </w:r>
    </w:p>
    <w:p w14:paraId="1737A182" w14:textId="77777777" w:rsidR="00B63F33" w:rsidRDefault="00B63F33">
      <w:pPr>
        <w:pStyle w:val="BodyTextFirstIndent"/>
        <w:ind w:left="1800" w:right="0" w:hanging="720"/>
      </w:pPr>
      <w:r>
        <w:t xml:space="preserve">“A” = the product of (x) the number of MW of lost capacity, derived by subtracting the number of MW of capacity of the Facility that qualifies for capacity credit actually made available to Company from the amount of qualifying capacity associated with the entire Facility, and (y) the applicable market price for capacity made available to Company’s system, for such hour; </w:t>
      </w:r>
    </w:p>
    <w:p w14:paraId="4C3BB465" w14:textId="77777777" w:rsidR="00B63F33" w:rsidRDefault="00B63F33">
      <w:pPr>
        <w:pStyle w:val="BodyTextFirstIndent"/>
        <w:ind w:left="1800" w:right="0" w:hanging="720"/>
      </w:pPr>
      <w:r>
        <w:t xml:space="preserve">“B” = </w:t>
      </w:r>
      <w:r>
        <w:tab/>
        <w:t xml:space="preserve">the </w:t>
      </w:r>
      <w:r>
        <w:rPr>
          <w:lang w:val="en-US"/>
        </w:rPr>
        <w:t>price paid by Company for</w:t>
      </w:r>
      <w:r>
        <w:t xml:space="preserve"> the MWh of </w:t>
      </w:r>
      <w:r>
        <w:rPr>
          <w:lang w:val="en-US"/>
        </w:rPr>
        <w:t xml:space="preserve">energy </w:t>
      </w:r>
      <w:r>
        <w:t xml:space="preserve">purchased by Company to replace the </w:t>
      </w:r>
      <w:r>
        <w:rPr>
          <w:lang w:val="en-US"/>
        </w:rPr>
        <w:t xml:space="preserve">Renewable </w:t>
      </w:r>
      <w:r>
        <w:t xml:space="preserve">Energy that was not delivered under this PPA during such hour; </w:t>
      </w:r>
    </w:p>
    <w:p w14:paraId="29845B10" w14:textId="77777777" w:rsidR="00B63F33" w:rsidRDefault="00B63F33">
      <w:pPr>
        <w:pStyle w:val="BodyTextFirstIndent"/>
        <w:ind w:left="1800" w:right="0" w:hanging="720"/>
      </w:pPr>
      <w:r>
        <w:t xml:space="preserve">“C” = the product of (x) the number of MWh of </w:t>
      </w:r>
      <w:r>
        <w:rPr>
          <w:lang w:val="en-US"/>
        </w:rPr>
        <w:t>e</w:t>
      </w:r>
      <w:proofErr w:type="spellStart"/>
      <w:r>
        <w:t>nergy</w:t>
      </w:r>
      <w:proofErr w:type="spellEnd"/>
      <w:r>
        <w:t xml:space="preserve"> purchased by Company </w:t>
      </w:r>
      <w:r>
        <w:rPr>
          <w:lang w:val="en-US"/>
        </w:rPr>
        <w:t>with respect to</w:t>
      </w:r>
      <w:r>
        <w:t xml:space="preserve"> such hour, to replace the </w:t>
      </w:r>
      <w:r>
        <w:rPr>
          <w:iCs/>
        </w:rPr>
        <w:t>Committed Energy</w:t>
      </w:r>
      <w:r>
        <w:t xml:space="preserve"> that was not delivered under this PPA, and (y) the actual cost of registered RECs for that number of MWh, for such hour; </w:t>
      </w:r>
    </w:p>
    <w:p w14:paraId="55A63C85" w14:textId="77777777" w:rsidR="00B63F33" w:rsidRDefault="00B63F33">
      <w:pPr>
        <w:pStyle w:val="BodyTextFirstIndent"/>
        <w:tabs>
          <w:tab w:val="left" w:pos="1800"/>
        </w:tabs>
        <w:ind w:left="1800" w:right="0" w:hanging="720"/>
      </w:pPr>
      <w:r>
        <w:t>“D” =</w:t>
      </w:r>
      <w:r>
        <w:tab/>
        <w:t xml:space="preserve">the actual cost of transmission, </w:t>
      </w:r>
      <w:r>
        <w:rPr>
          <w:lang w:val="en-US"/>
        </w:rPr>
        <w:t>A</w:t>
      </w:r>
      <w:proofErr w:type="spellStart"/>
      <w:r>
        <w:t>ncillary</w:t>
      </w:r>
      <w:proofErr w:type="spellEnd"/>
      <w:r>
        <w:t xml:space="preserve"> </w:t>
      </w:r>
      <w:r>
        <w:rPr>
          <w:lang w:val="en-US"/>
        </w:rPr>
        <w:t>S</w:t>
      </w:r>
      <w:proofErr w:type="spellStart"/>
      <w:r>
        <w:t>ervices</w:t>
      </w:r>
      <w:proofErr w:type="spellEnd"/>
      <w:r>
        <w:t xml:space="preserve">, fuel and fuel transportation, </w:t>
      </w:r>
      <w:r>
        <w:rPr>
          <w:lang w:val="en-US"/>
        </w:rPr>
        <w:t xml:space="preserve">other incremental costs, and any </w:t>
      </w:r>
      <w:r>
        <w:t>related penalties that could not be avoided or mitigated, and transaction charges to deliver reasonably available energy to Company in amounts equal to the number of MWh for which Replacement Power Costs are owed;  and</w:t>
      </w:r>
    </w:p>
    <w:p w14:paraId="656C8DA2" w14:textId="3B6E1489" w:rsidR="00B63F33" w:rsidRDefault="00B63F33">
      <w:pPr>
        <w:pStyle w:val="BodyTextFirstIndent"/>
        <w:ind w:left="1800" w:right="0" w:hanging="720"/>
      </w:pPr>
      <w:r>
        <w:t xml:space="preserve">“E” = </w:t>
      </w:r>
      <w:r>
        <w:tab/>
        <w:t xml:space="preserve">the  sum of all </w:t>
      </w:r>
      <w:r>
        <w:rPr>
          <w:lang w:val="en-US"/>
        </w:rPr>
        <w:t xml:space="preserve">payments </w:t>
      </w:r>
      <w:r>
        <w:t>avoided by Company as a result of Seller’s breach, for such hour</w:t>
      </w:r>
      <w:r>
        <w:rPr>
          <w:lang w:val="en-US"/>
        </w:rPr>
        <w:t xml:space="preserve">, including avoided payments under </w:t>
      </w:r>
      <w:r w:rsidR="00990857">
        <w:rPr>
          <w:u w:val="single"/>
          <w:lang w:val="en-US"/>
        </w:rPr>
        <w:fldChar w:fldCharType="begin"/>
      </w:r>
      <w:r w:rsidR="00990857">
        <w:rPr>
          <w:lang w:val="en-US"/>
        </w:rPr>
        <w:instrText xml:space="preserve"> REF _Ref149811662 \w \h </w:instrText>
      </w:r>
      <w:r w:rsidR="00990857">
        <w:rPr>
          <w:u w:val="single"/>
          <w:lang w:val="en-US"/>
        </w:rPr>
      </w:r>
      <w:r w:rsidR="00990857">
        <w:rPr>
          <w:u w:val="single"/>
          <w:lang w:val="en-US"/>
        </w:rPr>
        <w:fldChar w:fldCharType="separate"/>
      </w:r>
      <w:r w:rsidR="00990857">
        <w:rPr>
          <w:lang w:val="en-US"/>
        </w:rPr>
        <w:t>Article 8</w:t>
      </w:r>
      <w:r w:rsidR="00990857">
        <w:rPr>
          <w:u w:val="single"/>
          <w:lang w:val="en-US"/>
        </w:rPr>
        <w:fldChar w:fldCharType="end"/>
      </w:r>
      <w:r>
        <w:t>.</w:t>
      </w:r>
    </w:p>
    <w:p w14:paraId="10827F75" w14:textId="77777777" w:rsidR="00B63F33" w:rsidRDefault="00B63F33">
      <w:pPr>
        <w:pStyle w:val="BodyTextFirstIndent"/>
        <w:ind w:right="0"/>
        <w:rPr>
          <w:lang w:val="en-US"/>
        </w:rPr>
      </w:pPr>
      <w:r>
        <w:t>“</w:t>
      </w:r>
      <w:r>
        <w:rPr>
          <w:u w:val="single"/>
        </w:rPr>
        <w:t>ROFO</w:t>
      </w:r>
      <w:r>
        <w:t xml:space="preserve">” </w:t>
      </w:r>
      <w:r>
        <w:rPr>
          <w:lang w:val="en-US"/>
        </w:rPr>
        <w:t>means “Right of First Offer</w:t>
      </w:r>
      <w:r>
        <w:t>.</w:t>
      </w:r>
      <w:r>
        <w:rPr>
          <w:lang w:val="en-US"/>
        </w:rPr>
        <w:t>”</w:t>
      </w:r>
    </w:p>
    <w:p w14:paraId="79606BCA" w14:textId="44F3224F" w:rsidR="00B63F33" w:rsidRDefault="00B63F33">
      <w:pPr>
        <w:pStyle w:val="BodyTextFirstIndent"/>
        <w:ind w:right="0"/>
      </w:pPr>
      <w:r>
        <w:t>“</w:t>
      </w:r>
      <w:r>
        <w:rPr>
          <w:u w:val="single"/>
        </w:rPr>
        <w:t>ROFO Notice</w:t>
      </w:r>
      <w:r>
        <w:t xml:space="preserve">” shall have the meanings set forth in </w:t>
      </w:r>
      <w:r>
        <w:rPr>
          <w:u w:val="single"/>
        </w:rPr>
        <w:t xml:space="preserve">Section </w:t>
      </w:r>
      <w:r w:rsidR="00990857">
        <w:rPr>
          <w:u w:val="single"/>
        </w:rPr>
        <w:fldChar w:fldCharType="begin"/>
      </w:r>
      <w:r w:rsidR="00990857">
        <w:rPr>
          <w:u w:val="single"/>
        </w:rPr>
        <w:instrText xml:space="preserve"> REF _Ref149811681 \w \h </w:instrText>
      </w:r>
      <w:r w:rsidR="00990857">
        <w:rPr>
          <w:u w:val="single"/>
        </w:rPr>
      </w:r>
      <w:r w:rsidR="00990857">
        <w:rPr>
          <w:u w:val="single"/>
        </w:rPr>
        <w:fldChar w:fldCharType="separate"/>
      </w:r>
      <w:r w:rsidR="00990857">
        <w:rPr>
          <w:u w:val="single"/>
        </w:rPr>
        <w:t>19.3(A)</w:t>
      </w:r>
      <w:r w:rsidR="00990857">
        <w:rPr>
          <w:u w:val="single"/>
        </w:rPr>
        <w:fldChar w:fldCharType="end"/>
      </w:r>
      <w:r>
        <w:t>.</w:t>
      </w:r>
    </w:p>
    <w:p w14:paraId="3645CF1E" w14:textId="3C641692" w:rsidR="00750B7F" w:rsidRPr="00A12863" w:rsidRDefault="00022EF2">
      <w:pPr>
        <w:pStyle w:val="BodyTextFirstIndent"/>
        <w:ind w:right="0"/>
        <w:rPr>
          <w:lang w:val="en-US"/>
        </w:rPr>
      </w:pPr>
      <w:r>
        <w:rPr>
          <w:lang w:val="en-US"/>
        </w:rPr>
        <w:lastRenderedPageBreak/>
        <w:t>“</w:t>
      </w:r>
      <w:r w:rsidRPr="008F7F3C">
        <w:rPr>
          <w:u w:val="single"/>
          <w:lang w:val="en-US"/>
        </w:rPr>
        <w:t>Safety Requirements</w:t>
      </w:r>
      <w:r>
        <w:rPr>
          <w:lang w:val="en-US"/>
        </w:rPr>
        <w:t xml:space="preserve">” means those requirements set forth in </w:t>
      </w:r>
      <w:r>
        <w:rPr>
          <w:u w:val="single"/>
          <w:lang w:val="en-US"/>
        </w:rPr>
        <w:t>Exhibit N – Safety Requirements</w:t>
      </w:r>
      <w:r>
        <w:rPr>
          <w:lang w:val="en-US"/>
        </w:rPr>
        <w:t>, in additional to any other safety-related practices required by Applicable Law and Good Utility Practice.</w:t>
      </w:r>
    </w:p>
    <w:p w14:paraId="03141EBF" w14:textId="77777777" w:rsidR="00B63F33" w:rsidRDefault="00B63F33">
      <w:pPr>
        <w:pStyle w:val="BodyTextFirstIndent"/>
        <w:ind w:right="0"/>
      </w:pPr>
      <w:r>
        <w:t>“</w:t>
      </w:r>
      <w:r>
        <w:rPr>
          <w:u w:val="single"/>
        </w:rPr>
        <w:t>SCADA</w:t>
      </w:r>
      <w:r>
        <w:rPr>
          <w:lang w:val="en-US"/>
        </w:rPr>
        <w:t>” or “</w:t>
      </w:r>
      <w:r>
        <w:rPr>
          <w:u w:val="single"/>
          <w:lang w:val="en-US"/>
        </w:rPr>
        <w:t>SCADA System</w:t>
      </w:r>
      <w:r>
        <w:t>” means supervisory control and data acquisition.</w:t>
      </w:r>
    </w:p>
    <w:p w14:paraId="35EC2A54" w14:textId="3E780F7C" w:rsidR="00B63F33" w:rsidRDefault="00B63F33">
      <w:pPr>
        <w:pStyle w:val="BodyTextFirstIndent"/>
        <w:ind w:right="0"/>
      </w:pPr>
      <w:r>
        <w:t>“</w:t>
      </w:r>
      <w:r>
        <w:rPr>
          <w:u w:val="single"/>
        </w:rPr>
        <w:t>Scheduled Termination Date</w:t>
      </w:r>
      <w:r>
        <w:t xml:space="preserve">” shall have the meaning set forth in </w:t>
      </w:r>
      <w:r w:rsidR="00990857" w:rsidRPr="00B56869">
        <w:rPr>
          <w:u w:val="single"/>
        </w:rPr>
        <w:fldChar w:fldCharType="begin"/>
      </w:r>
      <w:r w:rsidR="00990857" w:rsidRPr="00B56869">
        <w:rPr>
          <w:u w:val="single"/>
        </w:rPr>
        <w:instrText xml:space="preserve"> REF _Ref149811694 \w \h </w:instrText>
      </w:r>
      <w:r w:rsidR="00990857" w:rsidRPr="00B56869">
        <w:rPr>
          <w:u w:val="single"/>
        </w:rPr>
      </w:r>
      <w:r w:rsidR="00990857" w:rsidRPr="00B56869">
        <w:rPr>
          <w:u w:val="single"/>
        </w:rPr>
        <w:fldChar w:fldCharType="separate"/>
      </w:r>
      <w:r w:rsidR="00990857" w:rsidRPr="00B56869">
        <w:rPr>
          <w:u w:val="single"/>
        </w:rPr>
        <w:t>Article 2</w:t>
      </w:r>
      <w:r w:rsidR="00990857" w:rsidRPr="00B56869">
        <w:rPr>
          <w:u w:val="single"/>
        </w:rPr>
        <w:fldChar w:fldCharType="end"/>
      </w:r>
      <w:r>
        <w:t>.</w:t>
      </w:r>
    </w:p>
    <w:p w14:paraId="4020A10D" w14:textId="7EFA0201" w:rsidR="00B63F33" w:rsidRDefault="00B63F33">
      <w:pPr>
        <w:pStyle w:val="BodyTextFirstIndent"/>
        <w:ind w:right="0"/>
      </w:pPr>
      <w:r>
        <w:t>“</w:t>
      </w:r>
      <w:r>
        <w:rPr>
          <w:u w:val="single"/>
        </w:rPr>
        <w:t>Security Fund</w:t>
      </w:r>
      <w:r>
        <w:t xml:space="preserve">” shall have the meaning set forth in </w:t>
      </w:r>
      <w:r>
        <w:rPr>
          <w:u w:val="single"/>
        </w:rPr>
        <w:t xml:space="preserve">Section </w:t>
      </w:r>
      <w:r w:rsidR="00990857">
        <w:rPr>
          <w:u w:val="single"/>
        </w:rPr>
        <w:fldChar w:fldCharType="begin"/>
      </w:r>
      <w:r w:rsidR="00990857">
        <w:rPr>
          <w:u w:val="single"/>
        </w:rPr>
        <w:instrText xml:space="preserve"> REF _Ref149811713 \w \h </w:instrText>
      </w:r>
      <w:r w:rsidR="00990857">
        <w:rPr>
          <w:u w:val="single"/>
        </w:rPr>
      </w:r>
      <w:r w:rsidR="00990857">
        <w:rPr>
          <w:u w:val="single"/>
        </w:rPr>
        <w:fldChar w:fldCharType="separate"/>
      </w:r>
      <w:r w:rsidR="00990857">
        <w:rPr>
          <w:u w:val="single"/>
        </w:rPr>
        <w:t>11.1(A)</w:t>
      </w:r>
      <w:r w:rsidR="00990857">
        <w:rPr>
          <w:u w:val="single"/>
        </w:rPr>
        <w:fldChar w:fldCharType="end"/>
      </w:r>
      <w:r>
        <w:t>.</w:t>
      </w:r>
    </w:p>
    <w:p w14:paraId="3ECF339C" w14:textId="77777777" w:rsidR="00B63F33" w:rsidRDefault="00B63F33">
      <w:pPr>
        <w:pStyle w:val="BodyTextFirstIndent"/>
        <w:ind w:right="0"/>
        <w:rPr>
          <w:lang w:val="en-US"/>
        </w:rPr>
      </w:pPr>
      <w:r>
        <w:rPr>
          <w:lang w:val="en-US"/>
        </w:rPr>
        <w:t>“</w:t>
      </w:r>
      <w:r>
        <w:rPr>
          <w:u w:val="single"/>
          <w:lang w:val="en-US"/>
        </w:rPr>
        <w:t>Seller</w:t>
      </w:r>
      <w:r>
        <w:rPr>
          <w:lang w:val="en-US"/>
        </w:rPr>
        <w:t>” shall have the meaning set forth in the introductory paragraph.</w:t>
      </w:r>
    </w:p>
    <w:p w14:paraId="2DFBB0E1" w14:textId="5591F48D" w:rsidR="00B63F33" w:rsidRDefault="00B63F33">
      <w:pPr>
        <w:pStyle w:val="BodyTextFirstIndent"/>
      </w:pPr>
      <w:r>
        <w:t>“</w:t>
      </w:r>
      <w:r>
        <w:rPr>
          <w:u w:val="single"/>
        </w:rPr>
        <w:t>Seller Excuse Hours</w:t>
      </w:r>
      <w:r>
        <w:t>” means those hours during which Seller is unable to schedule or deliver Energy to Company as a result of (A) a Curtailment (but only to the extent such Curtailment does not result from Seller’s failure to perform under this PPA or the Interconnection Agreement</w:t>
      </w:r>
      <w:r>
        <w:rPr>
          <w:lang w:val="en-US"/>
        </w:rPr>
        <w:t>,</w:t>
      </w:r>
      <w:r>
        <w:t xml:space="preserve"> or Seller’s failure to observe Good Utility Practices), (</w:t>
      </w:r>
      <w:r>
        <w:rPr>
          <w:lang w:val="en-US"/>
        </w:rPr>
        <w:t>B</w:t>
      </w:r>
      <w:r>
        <w:t>) Force Majeure; (</w:t>
      </w:r>
      <w:r>
        <w:rPr>
          <w:lang w:val="en-US"/>
        </w:rPr>
        <w:t>C</w:t>
      </w:r>
      <w:r>
        <w:t xml:space="preserve">) a </w:t>
      </w:r>
      <w:r>
        <w:rPr>
          <w:lang w:val="en-US"/>
        </w:rPr>
        <w:t xml:space="preserve">GSU </w:t>
      </w:r>
      <w:r>
        <w:t>Transformer Failure, or (</w:t>
      </w:r>
      <w:r>
        <w:rPr>
          <w:lang w:val="en-US"/>
        </w:rPr>
        <w:t>D</w:t>
      </w:r>
      <w:r>
        <w:t>) Company’s failure to perform.</w:t>
      </w:r>
    </w:p>
    <w:p w14:paraId="2BBD6CF9" w14:textId="207498A6" w:rsidR="00B63F33" w:rsidRDefault="00B63F33">
      <w:pPr>
        <w:pStyle w:val="BodyTextFirstIndent"/>
        <w:ind w:right="0"/>
      </w:pPr>
      <w:r>
        <w:t>“</w:t>
      </w:r>
      <w:r>
        <w:rPr>
          <w:u w:val="single"/>
        </w:rPr>
        <w:t>Site</w:t>
      </w:r>
      <w:r>
        <w:t xml:space="preserve">” means the parcel </w:t>
      </w:r>
      <w:r>
        <w:rPr>
          <w:lang w:val="en-US"/>
        </w:rPr>
        <w:t xml:space="preserve">or parcels </w:t>
      </w:r>
      <w:r>
        <w:t xml:space="preserve">of real property on which the Facility will be located, including any easements, rights of way, surface use agreements and other interests or rights in real estate necessary for the construction, operation and maintenance of the Facility.  The Site is more specifically described in </w:t>
      </w:r>
      <w:r w:rsidR="009076E2" w:rsidRPr="009076E2">
        <w:rPr>
          <w:u w:val="single"/>
        </w:rPr>
        <w:t>Exhibit C - Facility Description And Site Maps</w:t>
      </w:r>
      <w:r w:rsidR="009076E2">
        <w:rPr>
          <w:u w:val="single"/>
        </w:rPr>
        <w:t xml:space="preserve"> </w:t>
      </w:r>
      <w:r>
        <w:t>to this PPA.</w:t>
      </w:r>
    </w:p>
    <w:p w14:paraId="1D0A6001" w14:textId="589B8E83" w:rsidR="00B63F33" w:rsidRDefault="00B63F33">
      <w:pPr>
        <w:pStyle w:val="BodyTextFirstIndent"/>
        <w:ind w:right="0"/>
        <w:rPr>
          <w:rFonts w:cs="Arial"/>
          <w:b/>
          <w:i/>
        </w:rPr>
      </w:pPr>
      <w:r>
        <w:rPr>
          <w:rFonts w:cs="Arial"/>
          <w:lang w:val="en-US"/>
        </w:rPr>
        <w:t>[</w:t>
      </w:r>
      <w:r>
        <w:rPr>
          <w:rFonts w:cs="Arial"/>
          <w:i/>
          <w:color w:val="FF0000"/>
          <w:highlight w:val="yellow"/>
        </w:rPr>
        <w:t>solar only</w:t>
      </w:r>
      <w:r>
        <w:rPr>
          <w:rFonts w:cs="Arial"/>
          <w:lang w:val="en-US"/>
        </w:rPr>
        <w:t>]</w:t>
      </w:r>
      <w:r>
        <w:rPr>
          <w:rFonts w:cs="Arial"/>
          <w:i/>
          <w:color w:val="FF0000"/>
          <w:lang w:val="en-US"/>
        </w:rPr>
        <w:t xml:space="preserve"> </w:t>
      </w:r>
      <w:r>
        <w:t>“</w:t>
      </w:r>
      <w:r>
        <w:rPr>
          <w:u w:val="single"/>
        </w:rPr>
        <w:t>Solar Units</w:t>
      </w:r>
      <w:r>
        <w:t xml:space="preserve">” means the photovoltaic arrays, mirrors, lenses, tracking devices and other equipment necessary for the Facility to collect sunlight at the Site and convert it into electricity or thermal energy.  </w:t>
      </w:r>
      <w:r>
        <w:rPr>
          <w:rFonts w:cs="Arial"/>
        </w:rPr>
        <w:t xml:space="preserve">The manufacturer and model number of the Solar Units </w:t>
      </w:r>
      <w:r>
        <w:rPr>
          <w:rFonts w:cs="Arial"/>
          <w:lang w:val="en-US"/>
        </w:rPr>
        <w:t>will be</w:t>
      </w:r>
      <w:r>
        <w:rPr>
          <w:lang w:val="en-US"/>
        </w:rPr>
        <w:t xml:space="preserve"> </w:t>
      </w:r>
      <w:r>
        <w:rPr>
          <w:rFonts w:cs="Arial"/>
        </w:rPr>
        <w:t xml:space="preserve">identified on </w:t>
      </w:r>
      <w:r w:rsidR="009076E2" w:rsidRPr="009076E2">
        <w:rPr>
          <w:u w:val="single"/>
        </w:rPr>
        <w:t>Exhibit C - Facility Description And Site Maps</w:t>
      </w:r>
      <w:r>
        <w:rPr>
          <w:rFonts w:cs="Arial"/>
        </w:rPr>
        <w:t xml:space="preserve">.      </w:t>
      </w:r>
      <w:r>
        <w:rPr>
          <w:rFonts w:cs="Arial"/>
          <w:b/>
          <w:i/>
        </w:rPr>
        <w:t xml:space="preserve"> </w:t>
      </w:r>
    </w:p>
    <w:p w14:paraId="3211CE25" w14:textId="169860A7" w:rsidR="00B63F33" w:rsidRDefault="00E439FF">
      <w:pPr>
        <w:pStyle w:val="BodyTextFirstIndent"/>
        <w:ind w:right="0"/>
        <w:rPr>
          <w:bCs/>
          <w:iCs/>
          <w:color w:val="FF0000"/>
          <w:sz w:val="20"/>
          <w:szCs w:val="20"/>
          <w:lang w:val="en-US"/>
        </w:rPr>
      </w:pPr>
      <w:r>
        <w:rPr>
          <w:rFonts w:cs="Arial"/>
        </w:rPr>
        <w:t>“</w:t>
      </w:r>
      <w:r>
        <w:rPr>
          <w:rFonts w:cs="Arial"/>
          <w:u w:val="single"/>
        </w:rPr>
        <w:t>Specialty Vendors</w:t>
      </w:r>
      <w:r>
        <w:rPr>
          <w:rFonts w:cs="Arial"/>
        </w:rPr>
        <w:t xml:space="preserve">” means one or more employers or service providers (collectively with their respective employees, contractors and service providers) that uses or relies upon proprietary or specialized procedures, processes, equipment, or requires workers with specialized training or certification to investigate, inspect, or provide other services that do not constitute construction labor. Examples of Specialty Vendors include but are not limited to engineers, professional engineers, architects, quality control/assurance personnel and/or environmental compliance personnel. Work provided by Specialty Vendors is excluded from the requirement to be certified as set forth in </w:t>
      </w:r>
      <w:r>
        <w:rPr>
          <w:rFonts w:cs="Arial"/>
          <w:u w:val="single"/>
        </w:rPr>
        <w:t xml:space="preserve">Section </w:t>
      </w:r>
      <w:r w:rsidR="00990857">
        <w:rPr>
          <w:rFonts w:cs="Arial"/>
          <w:u w:val="single"/>
        </w:rPr>
        <w:fldChar w:fldCharType="begin"/>
      </w:r>
      <w:r w:rsidR="00990857">
        <w:rPr>
          <w:rFonts w:cs="Arial"/>
          <w:u w:val="single"/>
        </w:rPr>
        <w:instrText xml:space="preserve"> REF _Ref149811746 \w \h </w:instrText>
      </w:r>
      <w:r w:rsidR="00990857">
        <w:rPr>
          <w:rFonts w:cs="Arial"/>
          <w:u w:val="single"/>
        </w:rPr>
      </w:r>
      <w:r w:rsidR="00990857">
        <w:rPr>
          <w:rFonts w:cs="Arial"/>
          <w:u w:val="single"/>
        </w:rPr>
        <w:fldChar w:fldCharType="separate"/>
      </w:r>
      <w:r w:rsidR="00990857">
        <w:rPr>
          <w:rFonts w:cs="Arial"/>
          <w:u w:val="single"/>
        </w:rPr>
        <w:t>4.5(C)3.k</w:t>
      </w:r>
      <w:r w:rsidR="00990857">
        <w:rPr>
          <w:rFonts w:cs="Arial"/>
          <w:u w:val="single"/>
        </w:rPr>
        <w:fldChar w:fldCharType="end"/>
      </w:r>
      <w:r>
        <w:rPr>
          <w:rFonts w:cs="Arial"/>
        </w:rPr>
        <w:t>.</w:t>
      </w:r>
    </w:p>
    <w:p w14:paraId="701E3BBA" w14:textId="58D6A645" w:rsidR="00B63F33" w:rsidRDefault="00B63F33">
      <w:pPr>
        <w:pStyle w:val="BodyTextFirstIndent"/>
        <w:ind w:right="0"/>
      </w:pPr>
      <w:r>
        <w:rPr>
          <w:rFonts w:cs="Arial"/>
        </w:rPr>
        <w:t>“</w:t>
      </w:r>
      <w:r>
        <w:rPr>
          <w:rFonts w:cs="Arial"/>
          <w:u w:val="single"/>
        </w:rPr>
        <w:t>Target COD</w:t>
      </w:r>
      <w:r>
        <w:rPr>
          <w:rFonts w:cs="Arial"/>
        </w:rPr>
        <w:t xml:space="preserve">” shall have the meaning set forth in </w:t>
      </w:r>
      <w:r>
        <w:rPr>
          <w:rFonts w:cs="Arial"/>
          <w:u w:val="single"/>
        </w:rPr>
        <w:t xml:space="preserve">Section </w:t>
      </w:r>
      <w:r w:rsidR="00990857">
        <w:rPr>
          <w:rFonts w:cs="Arial"/>
          <w:u w:val="single"/>
        </w:rPr>
        <w:fldChar w:fldCharType="begin"/>
      </w:r>
      <w:r w:rsidR="00990857">
        <w:rPr>
          <w:rFonts w:cs="Arial"/>
          <w:u w:val="single"/>
        </w:rPr>
        <w:instrText xml:space="preserve"> REF _Ref149811758 \w \h </w:instrText>
      </w:r>
      <w:r w:rsidR="00990857">
        <w:rPr>
          <w:rFonts w:cs="Arial"/>
          <w:u w:val="single"/>
        </w:rPr>
      </w:r>
      <w:r w:rsidR="00990857">
        <w:rPr>
          <w:rFonts w:cs="Arial"/>
          <w:u w:val="single"/>
        </w:rPr>
        <w:fldChar w:fldCharType="separate"/>
      </w:r>
      <w:r w:rsidR="00990857">
        <w:rPr>
          <w:rFonts w:cs="Arial"/>
          <w:u w:val="single"/>
        </w:rPr>
        <w:t>4.5(A)</w:t>
      </w:r>
      <w:r w:rsidR="00990857">
        <w:rPr>
          <w:rFonts w:cs="Arial"/>
          <w:u w:val="single"/>
        </w:rPr>
        <w:fldChar w:fldCharType="end"/>
      </w:r>
      <w:r>
        <w:t>.</w:t>
      </w:r>
    </w:p>
    <w:p w14:paraId="52E64A0D" w14:textId="78FB2C1D" w:rsidR="00B63F33" w:rsidRPr="005C125A" w:rsidRDefault="00B63F33">
      <w:pPr>
        <w:pStyle w:val="BodyTextFirstIndent"/>
        <w:ind w:right="0"/>
        <w:rPr>
          <w:lang w:val="en-US"/>
        </w:rPr>
      </w:pPr>
      <w:r>
        <w:t>“</w:t>
      </w:r>
      <w:r>
        <w:rPr>
          <w:u w:val="single"/>
        </w:rPr>
        <w:t>TE Partnership</w:t>
      </w:r>
      <w:r>
        <w:t>”</w:t>
      </w:r>
      <w:r>
        <w:rPr>
          <w:lang w:val="en-US"/>
        </w:rPr>
        <w:t xml:space="preserve"> shall have the meaning set forth in </w:t>
      </w:r>
      <w:r>
        <w:rPr>
          <w:u w:val="single"/>
          <w:lang w:val="en-US"/>
        </w:rPr>
        <w:t xml:space="preserve">Section </w:t>
      </w:r>
      <w:r w:rsidR="00990857">
        <w:rPr>
          <w:u w:val="single"/>
          <w:lang w:val="en-US"/>
        </w:rPr>
        <w:fldChar w:fldCharType="begin"/>
      </w:r>
      <w:r w:rsidR="00990857">
        <w:rPr>
          <w:u w:val="single"/>
          <w:lang w:val="en-US"/>
        </w:rPr>
        <w:instrText xml:space="preserve"> REF _Ref149809927 \w \h </w:instrText>
      </w:r>
      <w:r w:rsidR="00990857">
        <w:rPr>
          <w:u w:val="single"/>
          <w:lang w:val="en-US"/>
        </w:rPr>
      </w:r>
      <w:r w:rsidR="00990857">
        <w:rPr>
          <w:u w:val="single"/>
          <w:lang w:val="en-US"/>
        </w:rPr>
        <w:fldChar w:fldCharType="separate"/>
      </w:r>
      <w:r w:rsidR="00990857">
        <w:rPr>
          <w:u w:val="single"/>
          <w:lang w:val="en-US"/>
        </w:rPr>
        <w:t>19.5(A)</w:t>
      </w:r>
      <w:r w:rsidR="00990857">
        <w:rPr>
          <w:u w:val="single"/>
          <w:lang w:val="en-US"/>
        </w:rPr>
        <w:fldChar w:fldCharType="end"/>
      </w:r>
      <w:r>
        <w:rPr>
          <w:lang w:val="en-US"/>
        </w:rPr>
        <w:t>.</w:t>
      </w:r>
      <w:r>
        <w:t xml:space="preserve"> </w:t>
      </w:r>
    </w:p>
    <w:p w14:paraId="67B3BBBF" w14:textId="762303D7" w:rsidR="00B63F33" w:rsidRDefault="00B63F33">
      <w:pPr>
        <w:pStyle w:val="BodyTextFirstIndent"/>
        <w:ind w:right="0"/>
      </w:pPr>
      <w:r>
        <w:t>“</w:t>
      </w:r>
      <w:r>
        <w:rPr>
          <w:u w:val="single"/>
        </w:rPr>
        <w:t>Term</w:t>
      </w:r>
      <w:r>
        <w:t xml:space="preserve">” means the period of time during which this PPA remains in full force and effect, as further defined in </w:t>
      </w:r>
      <w:r w:rsidR="00990857">
        <w:rPr>
          <w:u w:val="single"/>
        </w:rPr>
        <w:fldChar w:fldCharType="begin"/>
      </w:r>
      <w:r w:rsidR="00990857">
        <w:instrText xml:space="preserve"> REF _Ref149811783 \w \h </w:instrText>
      </w:r>
      <w:r w:rsidR="00990857">
        <w:rPr>
          <w:u w:val="single"/>
        </w:rPr>
      </w:r>
      <w:r w:rsidR="00990857">
        <w:rPr>
          <w:u w:val="single"/>
        </w:rPr>
        <w:fldChar w:fldCharType="separate"/>
      </w:r>
      <w:r w:rsidR="00990857">
        <w:t>Article 2</w:t>
      </w:r>
      <w:r w:rsidR="00990857">
        <w:rPr>
          <w:u w:val="single"/>
        </w:rPr>
        <w:fldChar w:fldCharType="end"/>
      </w:r>
      <w:r>
        <w:t>.</w:t>
      </w:r>
    </w:p>
    <w:p w14:paraId="75368538" w14:textId="38573DB3" w:rsidR="00B63F33" w:rsidRDefault="00B63F33">
      <w:pPr>
        <w:pStyle w:val="BodyTextFirstIndent"/>
        <w:ind w:right="0"/>
      </w:pPr>
      <w:r>
        <w:t>“</w:t>
      </w:r>
      <w:r>
        <w:rPr>
          <w:u w:val="single"/>
        </w:rPr>
        <w:t>Test Energy</w:t>
      </w:r>
      <w:r>
        <w:t xml:space="preserve">” shall have the meaning set forth in </w:t>
      </w:r>
      <w:r>
        <w:rPr>
          <w:u w:val="single"/>
        </w:rPr>
        <w:t xml:space="preserve">Section </w:t>
      </w:r>
      <w:r w:rsidR="00990857">
        <w:rPr>
          <w:u w:val="single"/>
        </w:rPr>
        <w:fldChar w:fldCharType="begin"/>
      </w:r>
      <w:r w:rsidR="00990857">
        <w:rPr>
          <w:u w:val="single"/>
        </w:rPr>
        <w:instrText xml:space="preserve"> REF _Ref149811820 \w \h </w:instrText>
      </w:r>
      <w:r w:rsidR="00990857">
        <w:rPr>
          <w:u w:val="single"/>
        </w:rPr>
      </w:r>
      <w:r w:rsidR="00990857">
        <w:rPr>
          <w:u w:val="single"/>
        </w:rPr>
        <w:fldChar w:fldCharType="separate"/>
      </w:r>
      <w:r w:rsidR="00990857">
        <w:rPr>
          <w:u w:val="single"/>
        </w:rPr>
        <w:t>4.6</w:t>
      </w:r>
      <w:r w:rsidR="00990857">
        <w:rPr>
          <w:u w:val="single"/>
        </w:rPr>
        <w:fldChar w:fldCharType="end"/>
      </w:r>
      <w:r>
        <w:t>.</w:t>
      </w:r>
    </w:p>
    <w:p w14:paraId="2237482D" w14:textId="054D2FBA" w:rsidR="00B63F33" w:rsidRDefault="00B63F33">
      <w:pPr>
        <w:pStyle w:val="BodyTextFirstIndent"/>
        <w:ind w:right="0"/>
      </w:pPr>
      <w:r>
        <w:lastRenderedPageBreak/>
        <w:t>“</w:t>
      </w:r>
      <w:r>
        <w:rPr>
          <w:u w:val="single"/>
        </w:rPr>
        <w:t>Transmission Authority</w:t>
      </w:r>
      <w:r>
        <w:t xml:space="preserve">” means collectively those entities owning and/or operating the interconnected transmission system applicable to Seller and the Facility pursuant to a Transmission Tariff, including (i) </w:t>
      </w:r>
      <w:r w:rsidR="006432A2">
        <w:rPr>
          <w:lang w:val="en-US"/>
        </w:rPr>
        <w:t xml:space="preserve">NSP </w:t>
      </w:r>
      <w:r>
        <w:t>operating under and in accordance with its Transmission Tariff, and (ii) all entity(</w:t>
      </w:r>
      <w:proofErr w:type="spellStart"/>
      <w:r>
        <w:rPr>
          <w:lang w:val="en-US"/>
        </w:rPr>
        <w:t>ie</w:t>
      </w:r>
      <w:proofErr w:type="spellEnd"/>
      <w:r>
        <w:t>s) responsible under the Interconnection Agreement for providing the transmission lines, any Interconnection Facilities and other equipment and facilities with which the Facility interconnects at the Interconnection Point and transmission system.</w:t>
      </w:r>
    </w:p>
    <w:p w14:paraId="3DD8B313" w14:textId="77777777" w:rsidR="00B63F33" w:rsidRDefault="00B63F33">
      <w:pPr>
        <w:pStyle w:val="BodyTextFirstIndent"/>
        <w:ind w:right="0"/>
      </w:pPr>
      <w:r>
        <w:t>“</w:t>
      </w:r>
      <w:r>
        <w:rPr>
          <w:u w:val="single"/>
        </w:rPr>
        <w:t>Transmission Authority’s System</w:t>
      </w:r>
      <w:r>
        <w:t>” means the contiguously interconnected electric transmission and sub-transmission facilities, over which the Transmission Authority has rights (by ownership or contract) to provide bulk transmission of capacity and energy from the Interconnection Point.</w:t>
      </w:r>
    </w:p>
    <w:p w14:paraId="3D5AB9BE" w14:textId="77777777" w:rsidR="00B63F33" w:rsidRDefault="00B63F33">
      <w:pPr>
        <w:pStyle w:val="BodyTextFirstIndent"/>
        <w:ind w:right="0"/>
      </w:pPr>
      <w:r>
        <w:t>“</w:t>
      </w:r>
      <w:r>
        <w:rPr>
          <w:u w:val="single"/>
        </w:rPr>
        <w:t>Transmission Tariff</w:t>
      </w:r>
      <w:r>
        <w:t xml:space="preserve">” means </w:t>
      </w:r>
      <w:r>
        <w:rPr>
          <w:rFonts w:cs="Arial"/>
        </w:rPr>
        <w:t>the</w:t>
      </w:r>
      <w:r>
        <w:t xml:space="preserve"> applicable Open Access Transmission </w:t>
      </w:r>
      <w:r>
        <w:rPr>
          <w:lang w:val="en-US"/>
        </w:rPr>
        <w:t xml:space="preserve">Tariff </w:t>
      </w:r>
      <w:r>
        <w:t>of the Transmission Authority, as amended from time to time.</w:t>
      </w:r>
    </w:p>
    <w:p w14:paraId="5C947FB2" w14:textId="77777777" w:rsidR="00B63F33" w:rsidRDefault="00B63F33">
      <w:pPr>
        <w:pStyle w:val="BodyTextFirstIndent"/>
        <w:ind w:right="0"/>
        <w:rPr>
          <w:b/>
          <w:bCs/>
          <w:lang w:val="en-US"/>
        </w:rPr>
      </w:pPr>
      <w:r>
        <w:rPr>
          <w:lang w:val="en-US"/>
        </w:rPr>
        <w:t>“</w:t>
      </w:r>
      <w:r>
        <w:rPr>
          <w:u w:val="single"/>
          <w:lang w:val="en-US"/>
        </w:rPr>
        <w:t>UFLPA</w:t>
      </w:r>
      <w:r>
        <w:rPr>
          <w:lang w:val="en-US"/>
        </w:rPr>
        <w:t xml:space="preserve">” means the </w:t>
      </w:r>
      <w:r>
        <w:t>Uyghur Forced Labor Prevention Act, Pub. L. 117-78 (2021)</w:t>
      </w:r>
      <w:r>
        <w:rPr>
          <w:lang w:val="en-US"/>
        </w:rPr>
        <w:t xml:space="preserve">. </w:t>
      </w:r>
    </w:p>
    <w:p w14:paraId="47F3A90E" w14:textId="3F0814A5" w:rsidR="00B63F33" w:rsidRPr="00B30B14" w:rsidRDefault="004E6017">
      <w:pPr>
        <w:pStyle w:val="BodyTextFirstIndent"/>
        <w:ind w:right="0"/>
        <w:rPr>
          <w:color w:val="000000" w:themeColor="text1"/>
          <w:lang w:val="en-US"/>
        </w:rPr>
      </w:pPr>
      <w:bookmarkStart w:id="721" w:name="_cp_change_213"/>
      <w:r w:rsidRPr="00B30B14">
        <w:rPr>
          <w:color w:val="000000" w:themeColor="text1"/>
          <w:lang w:val="en-US"/>
        </w:rPr>
        <w:t>“</w:t>
      </w:r>
      <w:r w:rsidRPr="00B30B14">
        <w:rPr>
          <w:color w:val="000000" w:themeColor="text1"/>
          <w:u w:val="single"/>
          <w:lang w:val="en-US"/>
        </w:rPr>
        <w:t>Ultimate Parent</w:t>
      </w:r>
      <w:r w:rsidRPr="00B30B14">
        <w:rPr>
          <w:color w:val="000000" w:themeColor="text1"/>
          <w:lang w:val="en-US"/>
        </w:rPr>
        <w:t>” shall have the meaning set forth in the definition of Change of Control.</w:t>
      </w:r>
      <w:bookmarkEnd w:id="721"/>
    </w:p>
    <w:p w14:paraId="69A94C4F" w14:textId="5EC3558B" w:rsidR="00B63F33" w:rsidRDefault="00B63F33">
      <w:pPr>
        <w:pStyle w:val="BodyTextFirstIndent"/>
        <w:ind w:right="0"/>
        <w:rPr>
          <w:b/>
          <w:i/>
          <w:sz w:val="20"/>
          <w:szCs w:val="20"/>
        </w:rPr>
      </w:pPr>
      <w:r>
        <w:rPr>
          <w:rFonts w:cs="Arial"/>
          <w:i/>
          <w:color w:val="FF0000"/>
          <w:lang w:val="en-US"/>
        </w:rPr>
        <w:t>[</w:t>
      </w:r>
      <w:r>
        <w:rPr>
          <w:rFonts w:cs="Arial"/>
          <w:i/>
          <w:color w:val="FF0000"/>
          <w:highlight w:val="yellow"/>
          <w:lang w:val="en-US"/>
        </w:rPr>
        <w:t xml:space="preserve">wind </w:t>
      </w:r>
      <w:r>
        <w:rPr>
          <w:rFonts w:cs="Arial"/>
          <w:i/>
          <w:color w:val="FF0000"/>
          <w:highlight w:val="yellow"/>
        </w:rPr>
        <w:t>only</w:t>
      </w:r>
      <w:r>
        <w:rPr>
          <w:rFonts w:cs="Arial"/>
          <w:i/>
          <w:color w:val="FF0000"/>
          <w:lang w:val="en-US"/>
        </w:rPr>
        <w:t>]</w:t>
      </w:r>
      <w:r>
        <w:rPr>
          <w:rFonts w:cs="Arial"/>
          <w:b/>
          <w:i/>
          <w:color w:val="FF0000"/>
          <w:sz w:val="20"/>
          <w:szCs w:val="20"/>
          <w:lang w:val="en-US"/>
        </w:rPr>
        <w:t xml:space="preserve"> </w:t>
      </w:r>
      <w:r>
        <w:rPr>
          <w:rFonts w:cs="Arial"/>
        </w:rPr>
        <w:t>“</w:t>
      </w:r>
      <w:r>
        <w:rPr>
          <w:rFonts w:cs="Arial"/>
          <w:u w:val="single"/>
        </w:rPr>
        <w:t>Wind Turbine(s)</w:t>
      </w:r>
      <w:r>
        <w:rPr>
          <w:rFonts w:cs="Arial"/>
        </w:rPr>
        <w:t xml:space="preserve">” means the wind-energy generating devices that are included in the Facility.   The manufacturer and model number of the Wind Turbines is identified on </w:t>
      </w:r>
      <w:r w:rsidR="009076E2" w:rsidRPr="009076E2">
        <w:rPr>
          <w:u w:val="single"/>
        </w:rPr>
        <w:t>Exhibit C - Facility Description And Site Maps</w:t>
      </w:r>
      <w:r>
        <w:rPr>
          <w:rFonts w:cs="Arial"/>
        </w:rPr>
        <w:t xml:space="preserve">.       </w:t>
      </w:r>
      <w:r>
        <w:rPr>
          <w:rFonts w:cs="Arial"/>
          <w:b/>
          <w:i/>
        </w:rPr>
        <w:t xml:space="preserve"> </w:t>
      </w:r>
    </w:p>
    <w:p w14:paraId="1EE164D1" w14:textId="77777777" w:rsidR="00B63F33" w:rsidRDefault="00B63F33">
      <w:pPr>
        <w:spacing w:after="240"/>
        <w:jc w:val="center"/>
        <w:rPr>
          <w:rFonts w:cs="Arial"/>
        </w:rPr>
        <w:sectPr w:rsidR="00B63F33">
          <w:headerReference w:type="even" r:id="rId31"/>
          <w:headerReference w:type="default" r:id="rId32"/>
          <w:footerReference w:type="even" r:id="rId33"/>
          <w:footerReference w:type="default" r:id="rId34"/>
          <w:headerReference w:type="first" r:id="rId35"/>
          <w:footerReference w:type="first" r:id="rId36"/>
          <w:pgSz w:w="12240" w:h="15840"/>
          <w:pgMar w:top="1440" w:right="1440" w:bottom="1440" w:left="1620" w:header="720" w:footer="720" w:gutter="0"/>
          <w:pgNumType w:start="1" w:chapStyle="1"/>
          <w:cols w:space="720"/>
          <w:titlePg/>
          <w:docGrid w:linePitch="36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484F8BCD" w14:textId="5AFEEF99" w:rsidR="00B63F33" w:rsidRDefault="004666F5" w:rsidP="005357FF">
      <w:pPr>
        <w:pStyle w:val="ExhibitTitle"/>
        <w:rPr>
          <w:rFonts w:cs="Arial"/>
        </w:rPr>
      </w:pPr>
      <w:bookmarkStart w:id="722" w:name="_Toc149813152"/>
      <w:bookmarkStart w:id="723" w:name="_Ref149813662"/>
      <w:bookmarkStart w:id="724" w:name="_Ref149814322"/>
      <w:bookmarkStart w:id="725" w:name="_Toc150954969"/>
      <w:r>
        <w:lastRenderedPageBreak/>
        <w:t xml:space="preserve">EXHIBIT </w:t>
      </w:r>
      <w:fldSimple w:instr=" SEQ EXHIBIT \* ALPHABETIC ">
        <w:r w:rsidR="00BC3574">
          <w:rPr>
            <w:noProof/>
          </w:rPr>
          <w:t>B</w:t>
        </w:r>
      </w:fldSimple>
      <w:r>
        <w:t xml:space="preserve"> - </w:t>
      </w:r>
      <w:r w:rsidR="00B63F33">
        <w:rPr>
          <w:rFonts w:cs="Arial"/>
        </w:rPr>
        <w:t>CONSTRUCTION MILESTONES</w:t>
      </w:r>
      <w:bookmarkEnd w:id="722"/>
      <w:bookmarkEnd w:id="723"/>
      <w:bookmarkEnd w:id="724"/>
      <w:bookmarkEnd w:id="725"/>
    </w:p>
    <w:p w14:paraId="2EB30BFE" w14:textId="77777777" w:rsidR="00B63F33" w:rsidRDefault="00B63F33">
      <w:pPr>
        <w:spacing w:after="120"/>
        <w:rPr>
          <w:rFonts w:cs="Arial"/>
          <w:b/>
        </w:rPr>
      </w:pPr>
      <w:r>
        <w:rPr>
          <w:rFonts w:cs="Arial"/>
          <w:b/>
        </w:rPr>
        <w:t>Construction</w:t>
      </w:r>
    </w:p>
    <w:p w14:paraId="25DFE4EB" w14:textId="77777777" w:rsidR="00B63F33" w:rsidRDefault="00B63F33">
      <w:pPr>
        <w:spacing w:after="120"/>
        <w:rPr>
          <w:rFonts w:cs="Arial"/>
          <w:b/>
        </w:rPr>
      </w:pPr>
      <w:r>
        <w:rPr>
          <w:rFonts w:cs="Arial"/>
          <w:b/>
          <w:u w:val="single"/>
        </w:rPr>
        <w:t xml:space="preserve">   Milestone   </w:t>
      </w:r>
      <w:r>
        <w:rPr>
          <w:rFonts w:cs="Arial"/>
          <w:b/>
        </w:rPr>
        <w:tab/>
      </w:r>
      <w:r>
        <w:rPr>
          <w:rFonts w:cs="Arial"/>
          <w:b/>
          <w:u w:val="single"/>
        </w:rPr>
        <w:t xml:space="preserve">                                 Outcome                                        </w:t>
      </w:r>
      <w:r>
        <w:rPr>
          <w:rFonts w:cs="Arial"/>
          <w:b/>
        </w:rPr>
        <w:tab/>
      </w:r>
    </w:p>
    <w:p w14:paraId="195DD674" w14:textId="77777777" w:rsidR="00B63F33" w:rsidRDefault="00B63F33">
      <w:pPr>
        <w:spacing w:after="240"/>
        <w:ind w:left="2160" w:hanging="1800"/>
        <w:jc w:val="both"/>
        <w:rPr>
          <w:rFonts w:cs="Arial"/>
          <w:i/>
          <w:u w:val="single"/>
        </w:rPr>
      </w:pPr>
      <w:bookmarkStart w:id="726" w:name="_Hlk46991981"/>
      <w:r>
        <w:rPr>
          <w:rFonts w:cs="Arial"/>
          <w:i/>
        </w:rPr>
        <w:t>[</w:t>
      </w:r>
      <w:r>
        <w:rPr>
          <w:rFonts w:cs="Arial"/>
          <w:i/>
          <w:highlight w:val="yellow"/>
        </w:rPr>
        <w:t>Date</w:t>
      </w:r>
      <w:r>
        <w:rPr>
          <w:rFonts w:cs="Arial"/>
          <w:i/>
        </w:rPr>
        <w:t>]</w:t>
      </w:r>
      <w:bookmarkEnd w:id="726"/>
      <w:r>
        <w:rPr>
          <w:rFonts w:cs="Arial"/>
        </w:rPr>
        <w:tab/>
        <w:t>Seller and all required counterparties shall have executed such Construction Contracts as are needed to construct the Facility.</w:t>
      </w:r>
      <w:r>
        <w:rPr>
          <w:rFonts w:cs="Arial"/>
          <w:i/>
          <w:u w:val="single"/>
        </w:rPr>
        <w:fldChar w:fldCharType="begin"/>
      </w:r>
      <w:r>
        <w:rPr>
          <w:i/>
          <w:u w:val="single"/>
        </w:rPr>
        <w:instrText xml:space="preserve"> TC \l "1"</w:instrText>
      </w:r>
      <w:r>
        <w:rPr>
          <w:rFonts w:cs="Arial"/>
          <w:i/>
          <w:u w:val="single"/>
        </w:rPr>
        <w:fldChar w:fldCharType="end"/>
      </w:r>
    </w:p>
    <w:p w14:paraId="3FF8D3C4" w14:textId="77777777" w:rsidR="00B63F33" w:rsidRDefault="00B63F33">
      <w:pPr>
        <w:spacing w:after="240"/>
        <w:ind w:left="2160" w:hanging="1800"/>
        <w:jc w:val="both"/>
        <w:rPr>
          <w:rFonts w:cs="Arial"/>
          <w:i/>
          <w:u w:val="single"/>
        </w:rPr>
      </w:pPr>
      <w:r>
        <w:rPr>
          <w:rFonts w:cs="Arial"/>
          <w:i/>
        </w:rPr>
        <w:t>[</w:t>
      </w:r>
      <w:r>
        <w:rPr>
          <w:rFonts w:cs="Arial"/>
          <w:i/>
          <w:highlight w:val="yellow"/>
        </w:rPr>
        <w:t>Date</w:t>
      </w:r>
      <w:r>
        <w:rPr>
          <w:rFonts w:cs="Arial"/>
          <w:i/>
        </w:rPr>
        <w:t>]</w:t>
      </w:r>
      <w:r>
        <w:rPr>
          <w:rFonts w:cs="Arial"/>
        </w:rPr>
        <w:tab/>
        <w:t>Seller and the Transmission Authority shall have executed the Interconnection Agreement.</w:t>
      </w:r>
      <w:r>
        <w:rPr>
          <w:rFonts w:cs="Arial"/>
          <w:i/>
          <w:u w:val="single"/>
        </w:rPr>
        <w:fldChar w:fldCharType="begin"/>
      </w:r>
      <w:r>
        <w:rPr>
          <w:i/>
          <w:u w:val="single"/>
        </w:rPr>
        <w:instrText xml:space="preserve"> TC \l "1"</w:instrText>
      </w:r>
      <w:r>
        <w:rPr>
          <w:rFonts w:cs="Arial"/>
          <w:i/>
          <w:u w:val="single"/>
        </w:rPr>
        <w:fldChar w:fldCharType="end"/>
      </w:r>
    </w:p>
    <w:p w14:paraId="47E0E5D0" w14:textId="77777777" w:rsidR="00B63F33" w:rsidRDefault="00B63F33">
      <w:pPr>
        <w:spacing w:after="240"/>
        <w:ind w:left="2160" w:hanging="1800"/>
        <w:jc w:val="both"/>
        <w:rPr>
          <w:rFonts w:cs="Arial"/>
        </w:rPr>
      </w:pPr>
      <w:r>
        <w:rPr>
          <w:rFonts w:cs="Arial"/>
          <w:i/>
        </w:rPr>
        <w:t>[</w:t>
      </w:r>
      <w:r>
        <w:rPr>
          <w:rFonts w:cs="Arial"/>
          <w:i/>
          <w:highlight w:val="yellow"/>
        </w:rPr>
        <w:t>Date</w:t>
      </w:r>
      <w:r>
        <w:rPr>
          <w:rFonts w:cs="Arial"/>
          <w:i/>
        </w:rPr>
        <w:t>]</w:t>
      </w:r>
      <w:r>
        <w:rPr>
          <w:rFonts w:cs="Arial"/>
          <w:i/>
          <w:u w:val="single"/>
        </w:rPr>
        <w:fldChar w:fldCharType="begin"/>
      </w:r>
      <w:r>
        <w:rPr>
          <w:i/>
          <w:u w:val="single"/>
        </w:rPr>
        <w:instrText xml:space="preserve"> TC \l "1"</w:instrText>
      </w:r>
      <w:r>
        <w:rPr>
          <w:rFonts w:cs="Arial"/>
          <w:i/>
          <w:u w:val="single"/>
        </w:rPr>
        <w:fldChar w:fldCharType="end"/>
      </w:r>
      <w:r>
        <w:rPr>
          <w:rFonts w:cs="Arial"/>
          <w:i/>
        </w:rPr>
        <w:t xml:space="preserve"> </w:t>
      </w:r>
      <w:r>
        <w:rPr>
          <w:rFonts w:cs="Arial"/>
        </w:rPr>
        <w:tab/>
        <w:t>Seller shall have achieved closing on financing for the Facility or provided Company with proof of financial capability to construct the Facility.</w:t>
      </w:r>
    </w:p>
    <w:p w14:paraId="19DD2DB6" w14:textId="77777777" w:rsidR="00B63F33" w:rsidRDefault="00B63F33">
      <w:pPr>
        <w:spacing w:after="240"/>
        <w:ind w:left="2160" w:hanging="1800"/>
        <w:jc w:val="both"/>
        <w:rPr>
          <w:rFonts w:cs="Arial"/>
          <w:iCs/>
        </w:rPr>
      </w:pPr>
      <w:r>
        <w:rPr>
          <w:rFonts w:cs="Arial"/>
          <w:i/>
        </w:rPr>
        <w:t>[</w:t>
      </w:r>
      <w:r>
        <w:rPr>
          <w:rFonts w:cs="Arial"/>
          <w:i/>
          <w:highlight w:val="yellow"/>
        </w:rPr>
        <w:t>Date</w:t>
      </w:r>
      <w:r>
        <w:rPr>
          <w:rFonts w:cs="Arial"/>
          <w:i/>
        </w:rPr>
        <w:t>]</w:t>
      </w:r>
      <w:r>
        <w:rPr>
          <w:rFonts w:cs="Arial"/>
          <w:i/>
        </w:rPr>
        <w:tab/>
      </w:r>
      <w:r>
        <w:rPr>
          <w:rFonts w:cs="Arial"/>
          <w:iCs/>
        </w:rPr>
        <w:t>Commencement of construction of the Facility.</w:t>
      </w:r>
    </w:p>
    <w:p w14:paraId="552F6E17" w14:textId="77777777" w:rsidR="00B63F33" w:rsidRDefault="00B63F33">
      <w:pPr>
        <w:spacing w:after="240"/>
        <w:ind w:left="2160" w:hanging="1800"/>
        <w:jc w:val="both"/>
        <w:rPr>
          <w:rFonts w:cs="Arial"/>
        </w:rPr>
      </w:pPr>
      <w:r>
        <w:rPr>
          <w:rFonts w:cs="Arial"/>
          <w:i/>
        </w:rPr>
        <w:t>[</w:t>
      </w:r>
      <w:r>
        <w:rPr>
          <w:rFonts w:cs="Arial"/>
          <w:i/>
          <w:highlight w:val="yellow"/>
        </w:rPr>
        <w:t>Date</w:t>
      </w:r>
      <w:r>
        <w:rPr>
          <w:rFonts w:cs="Arial"/>
          <w:i/>
        </w:rPr>
        <w:t>]</w:t>
      </w:r>
      <w:r>
        <w:rPr>
          <w:rFonts w:cs="Arial"/>
        </w:rPr>
        <w:tab/>
        <w:t>Seller shall have laid the foundation for all Facility buildings, generating facilities and step-up transformation facilities.</w:t>
      </w:r>
    </w:p>
    <w:p w14:paraId="179F536E" w14:textId="77777777" w:rsidR="00B63F33" w:rsidRDefault="00B63F33">
      <w:pPr>
        <w:spacing w:after="240"/>
        <w:ind w:left="2160" w:hanging="1800"/>
        <w:jc w:val="both"/>
        <w:rPr>
          <w:rFonts w:cs="Arial"/>
        </w:rPr>
      </w:pPr>
      <w:r>
        <w:rPr>
          <w:rFonts w:cs="Arial"/>
          <w:i/>
        </w:rPr>
        <w:t>[</w:t>
      </w:r>
      <w:r>
        <w:rPr>
          <w:rFonts w:cs="Arial"/>
          <w:i/>
          <w:highlight w:val="yellow"/>
        </w:rPr>
        <w:t>Date</w:t>
      </w:r>
      <w:r>
        <w:rPr>
          <w:rFonts w:cs="Arial"/>
          <w:i/>
        </w:rPr>
        <w:t>]</w:t>
      </w:r>
      <w:r>
        <w:rPr>
          <w:rFonts w:cs="Arial"/>
        </w:rPr>
        <w:tab/>
        <w:t>The [</w:t>
      </w:r>
      <w:r>
        <w:rPr>
          <w:rFonts w:cs="Arial"/>
          <w:highlight w:val="yellow"/>
        </w:rPr>
        <w:t>Wind Turbines</w:t>
      </w:r>
      <w:r>
        <w:rPr>
          <w:rFonts w:cs="Arial"/>
        </w:rPr>
        <w:t>] [</w:t>
      </w:r>
      <w:r>
        <w:rPr>
          <w:rFonts w:cs="Arial"/>
          <w:highlight w:val="yellow"/>
        </w:rPr>
        <w:t>Solar Units</w:t>
      </w:r>
      <w:r>
        <w:rPr>
          <w:rFonts w:cs="Arial"/>
        </w:rPr>
        <w:t>] and step-up transformer shall have been delivered and installed at the Site.</w:t>
      </w:r>
    </w:p>
    <w:p w14:paraId="56506C17" w14:textId="77777777" w:rsidR="00B63F33" w:rsidRDefault="00B63F33">
      <w:pPr>
        <w:spacing w:after="240"/>
        <w:ind w:left="2160" w:hanging="1800"/>
        <w:jc w:val="both"/>
        <w:rPr>
          <w:rFonts w:cs="Arial"/>
          <w:u w:val="single"/>
        </w:rPr>
      </w:pPr>
      <w:r>
        <w:rPr>
          <w:rFonts w:cs="Arial"/>
          <w:i/>
        </w:rPr>
        <w:t>[</w:t>
      </w:r>
      <w:r>
        <w:rPr>
          <w:rFonts w:cs="Arial"/>
          <w:i/>
          <w:highlight w:val="yellow"/>
        </w:rPr>
        <w:t>Date</w:t>
      </w:r>
      <w:r>
        <w:rPr>
          <w:rFonts w:cs="Arial"/>
          <w:i/>
        </w:rPr>
        <w:t>]</w:t>
      </w:r>
      <w:r>
        <w:rPr>
          <w:rFonts w:cs="Arial"/>
        </w:rPr>
        <w:tab/>
      </w:r>
      <w:bookmarkStart w:id="727" w:name="_Hlk47085385"/>
      <w:r>
        <w:rPr>
          <w:rFonts w:cs="Arial"/>
        </w:rPr>
        <w:t>Seller has submitted to Company and obtained Company approval of serialized information for all Electric Metering Devices and Back-Up Metering.</w:t>
      </w:r>
      <w:bookmarkEnd w:id="727"/>
      <w:r>
        <w:rPr>
          <w:rFonts w:cs="Arial"/>
          <w:u w:val="single"/>
        </w:rPr>
        <w:fldChar w:fldCharType="begin"/>
      </w:r>
      <w:r>
        <w:rPr>
          <w:u w:val="single"/>
        </w:rPr>
        <w:instrText xml:space="preserve"> TC \l "1"</w:instrText>
      </w:r>
      <w:r>
        <w:rPr>
          <w:rFonts w:cs="Arial"/>
          <w:u w:val="single"/>
        </w:rPr>
        <w:fldChar w:fldCharType="end"/>
      </w:r>
    </w:p>
    <w:p w14:paraId="664F92FB" w14:textId="77777777" w:rsidR="00B63F33" w:rsidRDefault="00B63F33">
      <w:pPr>
        <w:spacing w:after="240"/>
        <w:ind w:left="2160" w:hanging="1800"/>
        <w:jc w:val="both"/>
        <w:rPr>
          <w:rFonts w:cs="Arial"/>
        </w:rPr>
      </w:pPr>
      <w:r>
        <w:rPr>
          <w:rFonts w:cs="Arial"/>
          <w:i/>
        </w:rPr>
        <w:t>[</w:t>
      </w:r>
      <w:r>
        <w:rPr>
          <w:rFonts w:cs="Arial"/>
          <w:i/>
          <w:highlight w:val="yellow"/>
        </w:rPr>
        <w:t>Date</w:t>
      </w:r>
      <w:r>
        <w:rPr>
          <w:rFonts w:cs="Arial"/>
          <w:i/>
        </w:rPr>
        <w:t>]</w:t>
      </w:r>
      <w:r>
        <w:rPr>
          <w:rFonts w:cs="Arial"/>
        </w:rPr>
        <w:tab/>
        <w:t>Seller’s Interconnection Facilities shall have been constructed, and such facilities are capable of being energized.</w:t>
      </w:r>
    </w:p>
    <w:p w14:paraId="15C6A537" w14:textId="77777777" w:rsidR="00B63F33" w:rsidRDefault="00B63F33">
      <w:pPr>
        <w:spacing w:after="240"/>
        <w:ind w:left="2160" w:hanging="1800"/>
        <w:jc w:val="both"/>
        <w:rPr>
          <w:rFonts w:cs="Arial"/>
          <w:u w:val="single"/>
        </w:rPr>
      </w:pPr>
      <w:r>
        <w:rPr>
          <w:rFonts w:cs="Arial"/>
          <w:i/>
        </w:rPr>
        <w:t>[</w:t>
      </w:r>
      <w:r>
        <w:rPr>
          <w:rFonts w:cs="Arial"/>
          <w:i/>
          <w:highlight w:val="yellow"/>
        </w:rPr>
        <w:t>Date</w:t>
      </w:r>
      <w:r>
        <w:rPr>
          <w:rFonts w:cs="Arial"/>
          <w:i/>
        </w:rPr>
        <w:t>]</w:t>
      </w:r>
      <w:r>
        <w:rPr>
          <w:rFonts w:cs="Arial"/>
          <w:i/>
        </w:rPr>
        <w:tab/>
      </w:r>
      <w:bookmarkStart w:id="728" w:name="_Hlk47085433"/>
      <w:r>
        <w:rPr>
          <w:rFonts w:cs="Arial"/>
        </w:rPr>
        <w:t>Seller has demonstrated to Company’s reasonable satisfaction that all Electric Metering Devices and Back-Up Metering and communications equipment are functional and provide data integrity.</w:t>
      </w:r>
      <w:bookmarkEnd w:id="728"/>
    </w:p>
    <w:p w14:paraId="00BCF664" w14:textId="77777777" w:rsidR="00B63F33" w:rsidRDefault="00B63F33">
      <w:pPr>
        <w:spacing w:after="240"/>
        <w:ind w:left="2160" w:hanging="1800"/>
        <w:jc w:val="both"/>
        <w:rPr>
          <w:rFonts w:cs="Arial"/>
          <w:i/>
          <w:u w:val="single"/>
        </w:rPr>
      </w:pPr>
      <w:r>
        <w:rPr>
          <w:rFonts w:cs="Arial"/>
          <w:i/>
        </w:rPr>
        <w:t>[</w:t>
      </w:r>
      <w:r>
        <w:rPr>
          <w:rFonts w:cs="Arial"/>
          <w:i/>
          <w:highlight w:val="yellow"/>
        </w:rPr>
        <w:t>Date</w:t>
      </w:r>
      <w:r>
        <w:rPr>
          <w:rFonts w:cs="Arial"/>
          <w:i/>
        </w:rPr>
        <w:t>]</w:t>
      </w:r>
      <w:r>
        <w:rPr>
          <w:rFonts w:cs="Arial"/>
        </w:rPr>
        <w:tab/>
        <w:t>Start-up testing of the Facility commences.</w:t>
      </w:r>
      <w:r>
        <w:rPr>
          <w:rFonts w:cs="Arial"/>
          <w:i/>
          <w:u w:val="single"/>
        </w:rPr>
        <w:fldChar w:fldCharType="begin"/>
      </w:r>
      <w:r>
        <w:rPr>
          <w:i/>
          <w:u w:val="single"/>
        </w:rPr>
        <w:instrText xml:space="preserve"> TC \l "1"</w:instrText>
      </w:r>
      <w:r>
        <w:rPr>
          <w:rFonts w:cs="Arial"/>
          <w:i/>
          <w:u w:val="single"/>
        </w:rPr>
        <w:fldChar w:fldCharType="end"/>
      </w:r>
    </w:p>
    <w:p w14:paraId="4E0922B1" w14:textId="77777777" w:rsidR="00CE16BF" w:rsidRDefault="00B63F33">
      <w:pPr>
        <w:spacing w:after="120"/>
        <w:ind w:left="2160" w:hanging="1800"/>
        <w:jc w:val="both"/>
        <w:rPr>
          <w:rFonts w:cs="Arial"/>
        </w:rPr>
        <w:sectPr w:rsidR="00CE16BF">
          <w:headerReference w:type="even" r:id="rId37"/>
          <w:headerReference w:type="default" r:id="rId38"/>
          <w:footerReference w:type="even" r:id="rId39"/>
          <w:footerReference w:type="default" r:id="rId40"/>
          <w:headerReference w:type="first" r:id="rId41"/>
          <w:footerReference w:type="first" r:id="rId42"/>
          <w:pgSz w:w="12240" w:h="15840"/>
          <w:pgMar w:top="1440" w:right="1350" w:bottom="1440" w:left="1710" w:header="720" w:footer="720" w:gutter="0"/>
          <w:pgNumType w:start="1" w:chapStyle="1"/>
          <w:cols w:space="720"/>
          <w:titlePg/>
          <w:docGrid w:linePitch="360"/>
        </w:sectPr>
      </w:pPr>
      <w:r>
        <w:rPr>
          <w:rFonts w:cs="Arial"/>
          <w:i/>
        </w:rPr>
        <w:t>[</w:t>
      </w:r>
      <w:r>
        <w:rPr>
          <w:rFonts w:cs="Arial"/>
          <w:i/>
          <w:highlight w:val="yellow"/>
        </w:rPr>
        <w:t>Date</w:t>
      </w:r>
      <w:r>
        <w:rPr>
          <w:rFonts w:cs="Arial"/>
          <w:i/>
        </w:rPr>
        <w:t>]</w:t>
      </w:r>
      <w:r>
        <w:rPr>
          <w:rFonts w:cs="Arial"/>
        </w:rPr>
        <w:tab/>
        <w:t>Seller shall make all applications and/or filings required by Applicable Law for REC accreditation and for the assignment of such RECs to Company.</w:t>
      </w:r>
    </w:p>
    <w:p w14:paraId="1FA39754" w14:textId="11E6071B" w:rsidR="00B63F33" w:rsidRDefault="004666F5" w:rsidP="005357FF">
      <w:pPr>
        <w:pStyle w:val="ExhibitTitle"/>
      </w:pPr>
      <w:bookmarkStart w:id="729" w:name="_Toc149813153"/>
      <w:bookmarkStart w:id="730" w:name="_Toc433954234"/>
      <w:bookmarkStart w:id="731" w:name="_Ref149813591"/>
      <w:bookmarkStart w:id="732" w:name="_Ref149813598"/>
      <w:bookmarkStart w:id="733" w:name="_Ref149813606"/>
      <w:bookmarkStart w:id="734" w:name="_Ref149813621"/>
      <w:bookmarkStart w:id="735" w:name="_Ref149814356"/>
      <w:bookmarkStart w:id="736" w:name="_Ref149814378"/>
      <w:bookmarkStart w:id="737" w:name="_Ref149814410"/>
      <w:bookmarkStart w:id="738" w:name="_Ref149814441"/>
      <w:bookmarkStart w:id="739" w:name="_Ref149814446"/>
      <w:bookmarkStart w:id="740" w:name="_Ref149814457"/>
      <w:bookmarkStart w:id="741" w:name="_Toc150954970"/>
      <w:r>
        <w:lastRenderedPageBreak/>
        <w:t xml:space="preserve">EXHIBIT </w:t>
      </w:r>
      <w:fldSimple w:instr=" SEQ EXHIBIT \* ALPHABETIC ">
        <w:r w:rsidR="00BC3574">
          <w:rPr>
            <w:noProof/>
          </w:rPr>
          <w:t>C</w:t>
        </w:r>
      </w:fldSimple>
      <w:r>
        <w:t xml:space="preserve"> - </w:t>
      </w:r>
      <w:r w:rsidR="00B63F33">
        <w:t>FACILITY DESCRIPTION AND SITE MAPS</w:t>
      </w:r>
      <w:bookmarkEnd w:id="729"/>
      <w:bookmarkEnd w:id="730"/>
      <w:bookmarkEnd w:id="731"/>
      <w:bookmarkEnd w:id="732"/>
      <w:bookmarkEnd w:id="733"/>
      <w:bookmarkEnd w:id="734"/>
      <w:bookmarkEnd w:id="735"/>
      <w:bookmarkEnd w:id="736"/>
      <w:bookmarkEnd w:id="737"/>
      <w:bookmarkEnd w:id="738"/>
      <w:bookmarkEnd w:id="739"/>
      <w:bookmarkEnd w:id="740"/>
      <w:bookmarkEnd w:id="741"/>
    </w:p>
    <w:p w14:paraId="61F1297C" w14:textId="77777777" w:rsidR="00B63F33" w:rsidRDefault="00B63F33">
      <w:pPr>
        <w:spacing w:before="140"/>
        <w:jc w:val="center"/>
        <w:rPr>
          <w:b/>
        </w:rPr>
      </w:pPr>
    </w:p>
    <w:p w14:paraId="7BD16E2F" w14:textId="5543928F" w:rsidR="00B63F33" w:rsidRDefault="00B63F33">
      <w:pPr>
        <w:jc w:val="both"/>
      </w:pPr>
      <w:r>
        <w:rPr>
          <w:b/>
          <w:i/>
          <w:highlight w:val="yellow"/>
        </w:rPr>
        <w:t xml:space="preserve"> [This Exhibit shall include a description of the Facility and all material components thereof, including map, aerial pictures, </w:t>
      </w:r>
      <w:r w:rsidR="00BC53C2">
        <w:rPr>
          <w:b/>
          <w:i/>
          <w:highlight w:val="yellow"/>
        </w:rPr>
        <w:t>AC</w:t>
      </w:r>
      <w:r w:rsidR="00B67F75">
        <w:rPr>
          <w:b/>
          <w:i/>
          <w:highlight w:val="yellow"/>
        </w:rPr>
        <w:t xml:space="preserve"> </w:t>
      </w:r>
      <w:r>
        <w:rPr>
          <w:b/>
          <w:i/>
          <w:highlight w:val="yellow"/>
        </w:rPr>
        <w:t xml:space="preserve">one-line diagram, </w:t>
      </w:r>
      <w:r w:rsidR="00AD777D">
        <w:rPr>
          <w:b/>
          <w:i/>
          <w:highlight w:val="yellow"/>
        </w:rPr>
        <w:t xml:space="preserve">showing </w:t>
      </w:r>
      <w:r w:rsidR="00B67F75">
        <w:rPr>
          <w:b/>
          <w:i/>
          <w:highlight w:val="yellow"/>
        </w:rPr>
        <w:t xml:space="preserve">metering point(s), </w:t>
      </w:r>
      <w:r>
        <w:rPr>
          <w:b/>
          <w:i/>
          <w:highlight w:val="yellow"/>
        </w:rPr>
        <w:t>Point of Delivery</w:t>
      </w:r>
      <w:r w:rsidR="00D14A95">
        <w:rPr>
          <w:b/>
          <w:i/>
          <w:highlight w:val="yellow"/>
        </w:rPr>
        <w:t>,</w:t>
      </w:r>
      <w:r>
        <w:rPr>
          <w:b/>
          <w:i/>
          <w:highlight w:val="yellow"/>
        </w:rPr>
        <w:t xml:space="preserve"> and (if different)</w:t>
      </w:r>
      <w:r w:rsidR="00D14A95">
        <w:rPr>
          <w:b/>
          <w:i/>
          <w:highlight w:val="yellow"/>
        </w:rPr>
        <w:t>,</w:t>
      </w:r>
      <w:r>
        <w:rPr>
          <w:b/>
          <w:i/>
          <w:highlight w:val="yellow"/>
        </w:rPr>
        <w:t xml:space="preserve"> the Interconnection Point.]</w:t>
      </w:r>
      <w:r>
        <w:t xml:space="preserve">  </w:t>
      </w:r>
    </w:p>
    <w:p w14:paraId="2C7CEFBF" w14:textId="77777777" w:rsidR="00B63F33" w:rsidRDefault="00B63F33">
      <w:pPr>
        <w:jc w:val="both"/>
      </w:pPr>
    </w:p>
    <w:p w14:paraId="500630CD" w14:textId="77777777" w:rsidR="00B63F33" w:rsidRDefault="00B63F33">
      <w:pPr>
        <w:jc w:val="both"/>
      </w:pPr>
      <w:r>
        <w:t xml:space="preserve">The Facility shall be located on the Site and shall be identified as Seller’s </w:t>
      </w:r>
      <w:r>
        <w:rPr>
          <w:highlight w:val="yellow"/>
        </w:rPr>
        <w:t>[_________]</w:t>
      </w:r>
      <w:r>
        <w:t xml:space="preserve"> Generation Facility.  Maps and one-line diagrams of the Facility and associated equipment are included as part of this Exhibit, as may be updated from time to time.</w:t>
      </w:r>
    </w:p>
    <w:p w14:paraId="188B0E14" w14:textId="77777777" w:rsidR="00B63F33" w:rsidRDefault="00B63F33">
      <w:pPr>
        <w:jc w:val="both"/>
      </w:pPr>
    </w:p>
    <w:p w14:paraId="29A7D46F" w14:textId="77777777" w:rsidR="00B63F33" w:rsidRDefault="00B63F33">
      <w:pPr>
        <w:jc w:val="both"/>
        <w:rPr>
          <w:rFonts w:cs="Arial"/>
        </w:rPr>
      </w:pPr>
      <w:r>
        <w:t xml:space="preserve">The address of the Facility is </w:t>
      </w:r>
      <w:r>
        <w:rPr>
          <w:highlight w:val="yellow"/>
        </w:rPr>
        <w:t>[_________________________]</w:t>
      </w:r>
      <w:bookmarkStart w:id="742" w:name="_Hlk55462327"/>
      <w:r>
        <w:t xml:space="preserve">, </w:t>
      </w:r>
      <w:r>
        <w:rPr>
          <w:rFonts w:cs="Arial"/>
        </w:rPr>
        <w:t>Latitude: [</w:t>
      </w:r>
      <w:r>
        <w:rPr>
          <w:rFonts w:cs="Arial"/>
          <w:highlight w:val="yellow"/>
        </w:rPr>
        <w:t>________</w:t>
      </w:r>
      <w:r>
        <w:rPr>
          <w:rFonts w:cs="Arial"/>
        </w:rPr>
        <w:t>], Longitude: [</w:t>
      </w:r>
      <w:r>
        <w:rPr>
          <w:rFonts w:cs="Arial"/>
          <w:highlight w:val="yellow"/>
        </w:rPr>
        <w:t>________</w:t>
      </w:r>
      <w:r>
        <w:rPr>
          <w:rFonts w:cs="Arial"/>
        </w:rPr>
        <w:t>]</w:t>
      </w:r>
      <w:bookmarkEnd w:id="742"/>
      <w:r>
        <w:rPr>
          <w:rFonts w:cs="Arial"/>
        </w:rPr>
        <w:t xml:space="preserve">.  </w:t>
      </w:r>
    </w:p>
    <w:p w14:paraId="55C2B8F9" w14:textId="77777777" w:rsidR="000644EE" w:rsidRDefault="000644EE">
      <w:pPr>
        <w:jc w:val="both"/>
      </w:pPr>
    </w:p>
    <w:p w14:paraId="268D5E86" w14:textId="5A69DA3B" w:rsidR="00B63F33" w:rsidRDefault="000644EE">
      <w:pPr>
        <w:jc w:val="both"/>
      </w:pPr>
      <w:r>
        <w:t>Point of Delivery located at [</w:t>
      </w:r>
      <w:r>
        <w:rPr>
          <w:highlight w:val="yellow"/>
        </w:rPr>
        <w:t>________________</w:t>
      </w:r>
      <w:r>
        <w:t>].</w:t>
      </w:r>
      <w:r w:rsidR="00B63F33">
        <w:t xml:space="preserve">  </w:t>
      </w:r>
    </w:p>
    <w:p w14:paraId="186FF700" w14:textId="77777777" w:rsidR="00B63F33" w:rsidRDefault="00B63F33">
      <w:pPr>
        <w:jc w:val="both"/>
      </w:pPr>
    </w:p>
    <w:p w14:paraId="1A6376F2" w14:textId="77777777" w:rsidR="00B63F33" w:rsidRDefault="00B63F33">
      <w:pPr>
        <w:jc w:val="both"/>
      </w:pPr>
      <w:bookmarkStart w:id="743" w:name="_Hlk66875040"/>
      <w:r>
        <w:t>The Facility must include the following specific components and capabilities:</w:t>
      </w:r>
      <w:bookmarkEnd w:id="743"/>
    </w:p>
    <w:p w14:paraId="74D6E160" w14:textId="77777777" w:rsidR="00B63F33" w:rsidRDefault="00B63F33">
      <w:pPr>
        <w:jc w:val="both"/>
      </w:pPr>
    </w:p>
    <w:p w14:paraId="72911A4E" w14:textId="79F1069B" w:rsidR="00B63F33" w:rsidRDefault="00B63F33" w:rsidP="0017232C">
      <w:pPr>
        <w:ind w:left="180" w:hanging="180"/>
        <w:jc w:val="both"/>
      </w:pPr>
      <w:r>
        <w:t>*</w:t>
      </w:r>
      <w:r w:rsidR="000E1FA0">
        <w:t>Major</w:t>
      </w:r>
      <w:r>
        <w:t xml:space="preserve"> equipment including PV modules and inverters</w:t>
      </w:r>
      <w:r w:rsidR="0017232C">
        <w:t xml:space="preserve"> </w:t>
      </w:r>
      <w:r w:rsidR="0017232C" w:rsidRPr="005357FF">
        <w:t>without any inherent limitations for alignment and conformance with IEEE Std. 2800-2022</w:t>
      </w:r>
      <w:r w:rsidR="0017232C">
        <w:t>.</w:t>
      </w:r>
    </w:p>
    <w:p w14:paraId="43AB1B0C" w14:textId="77777777" w:rsidR="00B63F33" w:rsidRDefault="00B63F33">
      <w:pPr>
        <w:ind w:left="180" w:hanging="180"/>
        <w:jc w:val="both"/>
      </w:pPr>
    </w:p>
    <w:p w14:paraId="163966D1" w14:textId="27701F4E" w:rsidR="00B63F33" w:rsidRDefault="00B63F33">
      <w:pPr>
        <w:ind w:left="180" w:hanging="180"/>
        <w:jc w:val="both"/>
      </w:pPr>
      <w:r>
        <w:t>*</w:t>
      </w:r>
      <w:r w:rsidR="000E1FA0">
        <w:t xml:space="preserve">Available </w:t>
      </w:r>
      <w:r>
        <w:t>panel space and 125VDC battery supplied voltage necessary to accommodate the metering, telemetering and communications equipment required by the PPA</w:t>
      </w:r>
      <w:r w:rsidR="000E1FA0">
        <w:t>.</w:t>
      </w:r>
    </w:p>
    <w:p w14:paraId="332A1008" w14:textId="77777777" w:rsidR="00B63F33" w:rsidRDefault="00B63F33">
      <w:pPr>
        <w:ind w:left="180" w:hanging="180"/>
        <w:jc w:val="both"/>
      </w:pPr>
    </w:p>
    <w:p w14:paraId="6FB5CDE8" w14:textId="75DB0F39" w:rsidR="00B63F33" w:rsidRDefault="00B63F33">
      <w:pPr>
        <w:ind w:left="180" w:hanging="180"/>
        <w:jc w:val="both"/>
      </w:pPr>
      <w:r>
        <w:t xml:space="preserve">* </w:t>
      </w:r>
      <w:r w:rsidR="000E1FA0">
        <w:t>Communication</w:t>
      </w:r>
      <w:r>
        <w:t xml:space="preserve"> circuits from the Facility to the EMCC for the purpose of telemetering, supervisory control/data acquisition, and voice communications as required by Company</w:t>
      </w:r>
      <w:r w:rsidR="000E1FA0">
        <w:t>.</w:t>
      </w:r>
    </w:p>
    <w:p w14:paraId="2CA936AB" w14:textId="77777777" w:rsidR="00B63F33" w:rsidRDefault="00B63F33">
      <w:pPr>
        <w:ind w:left="180" w:hanging="180"/>
      </w:pPr>
    </w:p>
    <w:p w14:paraId="12ED9118" w14:textId="77777777" w:rsidR="00C14BA1" w:rsidRDefault="00B63F33" w:rsidP="00C14BA1">
      <w:pPr>
        <w:ind w:left="180" w:hanging="180"/>
        <w:jc w:val="both"/>
      </w:pPr>
      <w:r>
        <w:t xml:space="preserve">* </w:t>
      </w:r>
      <w:r w:rsidR="00F638E5">
        <w:t>Capability of sending real time data and OPC interface to Company’s PI System.</w:t>
      </w:r>
    </w:p>
    <w:p w14:paraId="49F00F71" w14:textId="77777777" w:rsidR="00C14BA1" w:rsidRDefault="00C14BA1" w:rsidP="00C14BA1">
      <w:pPr>
        <w:jc w:val="both"/>
      </w:pPr>
    </w:p>
    <w:p w14:paraId="634A7761" w14:textId="77777777" w:rsidR="004A56CE" w:rsidRDefault="004A56CE" w:rsidP="004A56CE">
      <w:pPr>
        <w:ind w:left="180" w:hanging="180"/>
        <w:jc w:val="both"/>
      </w:pPr>
      <w:r>
        <w:t xml:space="preserve">* Equipment and software necessary to receive, accept and react to an AGC signal from the Company’s SCADA System and to comply with the AGC Protocols as further specified on </w:t>
      </w:r>
      <w:r>
        <w:rPr>
          <w:u w:val="single"/>
        </w:rPr>
        <w:t>Exhibit I - AGC Protocols; Data Collection; Availability Reporting</w:t>
      </w:r>
      <w:r>
        <w:t>.</w:t>
      </w:r>
    </w:p>
    <w:p w14:paraId="7196BB2E" w14:textId="77777777" w:rsidR="00B63F33" w:rsidRDefault="00B63F33" w:rsidP="004A56CE">
      <w:pPr>
        <w:jc w:val="both"/>
      </w:pPr>
    </w:p>
    <w:p w14:paraId="5B7ECC9E" w14:textId="34C58DB7" w:rsidR="00BE3073" w:rsidRDefault="00B63F33" w:rsidP="00BE3073">
      <w:pPr>
        <w:ind w:left="180" w:hanging="180"/>
        <w:jc w:val="both"/>
      </w:pPr>
      <w:r>
        <w:t>*</w:t>
      </w:r>
      <w:r w:rsidR="00BE3073" w:rsidRPr="00BE3073">
        <w:rPr>
          <w:rFonts w:cs="Arial"/>
        </w:rPr>
        <w:t xml:space="preserve"> </w:t>
      </w:r>
      <w:r w:rsidR="00BE3073">
        <w:rPr>
          <w:rFonts w:cs="Arial"/>
        </w:rPr>
        <w:t xml:space="preserve">Ramping capability, reactive power - voltage control capability and active power - frequency response </w:t>
      </w:r>
      <w:r w:rsidR="006432A2">
        <w:rPr>
          <w:rFonts w:cs="Arial"/>
        </w:rPr>
        <w:t>capability pursuant</w:t>
      </w:r>
      <w:r w:rsidR="00BE3073">
        <w:rPr>
          <w:rFonts w:cs="Arial"/>
        </w:rPr>
        <w:t xml:space="preserve"> to NERC guidelines/requirements and applicable sections of IEEE Std. 2800-2022, including but not limited to Section 5 </w:t>
      </w:r>
      <w:r w:rsidR="00BE3073" w:rsidRPr="00BC1714">
        <w:rPr>
          <w:rFonts w:cs="Arial"/>
        </w:rPr>
        <w:t>“Reactive power-voltage control requirements within the continuous operation region”</w:t>
      </w:r>
      <w:r w:rsidR="00BE3073">
        <w:rPr>
          <w:rFonts w:cs="Arial"/>
        </w:rPr>
        <w:t xml:space="preserve">, and Section 6 </w:t>
      </w:r>
      <w:r w:rsidR="00BE3073">
        <w:t>“Active-power – frequency response requirements</w:t>
      </w:r>
      <w:r w:rsidR="00BE3073">
        <w:rPr>
          <w:rFonts w:cs="Arial"/>
        </w:rPr>
        <w:t>”.</w:t>
      </w:r>
      <w:r w:rsidR="00BE3073">
        <w:t xml:space="preserve"> </w:t>
      </w:r>
    </w:p>
    <w:p w14:paraId="2A7CB7D8" w14:textId="77777777" w:rsidR="00BE3073" w:rsidRDefault="00BE3073" w:rsidP="00BE3073">
      <w:pPr>
        <w:ind w:left="180" w:hanging="180"/>
        <w:jc w:val="both"/>
      </w:pPr>
    </w:p>
    <w:p w14:paraId="0DA5A945" w14:textId="77777777" w:rsidR="00BE3073" w:rsidRDefault="00BE3073" w:rsidP="00BE3073">
      <w:pPr>
        <w:ind w:left="180" w:hanging="180"/>
        <w:rPr>
          <w:rFonts w:cs="Arial"/>
        </w:rPr>
      </w:pPr>
      <w:r>
        <w:rPr>
          <w:rFonts w:cs="Arial"/>
        </w:rPr>
        <w:t>* Facility has Low Voltage Ride-Through (LVRT) Capability described under FERC Order No. 661 and meets the requirements for Reactive Power Design Criteria under FERC Order No. 827.</w:t>
      </w:r>
    </w:p>
    <w:p w14:paraId="6CB1C63D" w14:textId="77777777" w:rsidR="00BE3073" w:rsidRDefault="00BE3073" w:rsidP="00BE3073">
      <w:pPr>
        <w:ind w:left="180" w:hanging="180"/>
        <w:rPr>
          <w:rFonts w:cs="Arial"/>
        </w:rPr>
      </w:pPr>
    </w:p>
    <w:p w14:paraId="0B37D76F" w14:textId="77777777" w:rsidR="00BE3073" w:rsidRDefault="00BE3073" w:rsidP="00BE3073">
      <w:pPr>
        <w:ind w:left="180" w:hanging="180"/>
        <w:rPr>
          <w:rFonts w:cs="Arial"/>
        </w:rPr>
      </w:pPr>
    </w:p>
    <w:p w14:paraId="3E97CCB8" w14:textId="275B80B4" w:rsidR="00B63F33" w:rsidRPr="00E3503A" w:rsidRDefault="00B63F33">
      <w:pPr>
        <w:ind w:left="180" w:hanging="180"/>
        <w:jc w:val="both"/>
        <w:rPr>
          <w:i/>
          <w:color w:val="FF0000"/>
        </w:rPr>
      </w:pPr>
      <w:r>
        <w:lastRenderedPageBreak/>
        <w:t xml:space="preserve"> </w:t>
      </w:r>
      <w:r>
        <w:rPr>
          <w:i/>
          <w:color w:val="FF0000"/>
        </w:rPr>
        <w:t>[</w:t>
      </w:r>
      <w:r>
        <w:rPr>
          <w:i/>
          <w:color w:val="FF0000"/>
          <w:highlight w:val="yellow"/>
        </w:rPr>
        <w:t>wind - insert make, model and number of turbines.</w:t>
      </w:r>
      <w:r>
        <w:rPr>
          <w:i/>
          <w:color w:val="FF0000"/>
        </w:rPr>
        <w:t>]</w:t>
      </w:r>
    </w:p>
    <w:p w14:paraId="6113ED4E" w14:textId="77777777" w:rsidR="00B31326" w:rsidRPr="0082472C" w:rsidRDefault="00B31326">
      <w:pPr>
        <w:ind w:left="180" w:hanging="180"/>
        <w:jc w:val="both"/>
        <w:rPr>
          <w:i/>
        </w:rPr>
      </w:pPr>
    </w:p>
    <w:p w14:paraId="7160ACFF" w14:textId="7DD8D0EF" w:rsidR="00B31326" w:rsidRPr="00F75B53" w:rsidRDefault="00B31326">
      <w:pPr>
        <w:ind w:left="180" w:hanging="180"/>
        <w:jc w:val="both"/>
      </w:pPr>
      <w:r>
        <w:rPr>
          <w:i/>
        </w:rPr>
        <w:t>*</w:t>
      </w:r>
      <w:r w:rsidRPr="005357FF">
        <w:t>Major equipment including inverters and/or wind-turbine generators without any inherent limitations for alignment and conformance with IEEE Std. 2800-2022</w:t>
      </w:r>
      <w:r>
        <w:rPr>
          <w:i/>
        </w:rPr>
        <w:t>.</w:t>
      </w:r>
    </w:p>
    <w:p w14:paraId="6095962B" w14:textId="77777777" w:rsidR="00B63F33" w:rsidRDefault="00B63F33">
      <w:pPr>
        <w:ind w:left="180" w:hanging="180"/>
        <w:jc w:val="both"/>
      </w:pPr>
    </w:p>
    <w:p w14:paraId="65AEDBF7" w14:textId="3962B1EB" w:rsidR="00B63F33" w:rsidRDefault="00B63F33">
      <w:pPr>
        <w:ind w:left="180" w:hanging="180"/>
        <w:jc w:val="both"/>
      </w:pPr>
      <w:r>
        <w:t xml:space="preserve">* </w:t>
      </w:r>
      <w:r>
        <w:rPr>
          <w:i/>
          <w:color w:val="FF0000"/>
        </w:rPr>
        <w:t>[</w:t>
      </w:r>
      <w:r>
        <w:rPr>
          <w:i/>
          <w:color w:val="FF0000"/>
          <w:highlight w:val="yellow"/>
        </w:rPr>
        <w:t>wind</w:t>
      </w:r>
      <w:r>
        <w:rPr>
          <w:i/>
          <w:color w:val="FF0000"/>
        </w:rPr>
        <w:t xml:space="preserve">] </w:t>
      </w:r>
      <w:r w:rsidR="00FB294B">
        <w:t>E</w:t>
      </w:r>
      <w:r>
        <w:t>ach Wind Turbine equipped with meteorological measurement equipment (</w:t>
      </w:r>
      <w:proofErr w:type="gramStart"/>
      <w:r>
        <w:t>e.g.</w:t>
      </w:r>
      <w:proofErr w:type="gramEnd"/>
      <w:r>
        <w:t xml:space="preserve"> anemometers), individually linked to Seller’s information system</w:t>
      </w:r>
      <w:r w:rsidR="00FB294B">
        <w:t>.</w:t>
      </w:r>
    </w:p>
    <w:p w14:paraId="22DEBCFE" w14:textId="77777777" w:rsidR="00B63F33" w:rsidRDefault="00B63F33">
      <w:pPr>
        <w:rPr>
          <w:rFonts w:cs="Arial"/>
        </w:rPr>
      </w:pPr>
    </w:p>
    <w:p w14:paraId="56051C90" w14:textId="77777777" w:rsidR="00B63F33" w:rsidRDefault="00B63F33">
      <w:pPr>
        <w:rPr>
          <w:rFonts w:cs="Arial"/>
          <w:sz w:val="22"/>
          <w:szCs w:val="22"/>
        </w:rPr>
      </w:pPr>
      <w:r>
        <w:rPr>
          <w:rFonts w:cs="Arial"/>
        </w:rPr>
        <w:t xml:space="preserve">* </w:t>
      </w:r>
      <w:r>
        <w:rPr>
          <w:rFonts w:cs="Arial"/>
          <w:i/>
          <w:color w:val="FF0000"/>
        </w:rPr>
        <w:t>[</w:t>
      </w:r>
      <w:r>
        <w:rPr>
          <w:rFonts w:cs="Arial"/>
          <w:i/>
          <w:color w:val="FF0000"/>
          <w:highlight w:val="yellow"/>
        </w:rPr>
        <w:t>wind</w:t>
      </w:r>
      <w:r>
        <w:rPr>
          <w:rFonts w:cs="Arial"/>
          <w:i/>
          <w:color w:val="FF0000"/>
        </w:rPr>
        <w:t>]</w:t>
      </w:r>
      <w:r>
        <w:rPr>
          <w:rFonts w:cs="Arial"/>
          <w:color w:val="FF0000"/>
        </w:rPr>
        <w:t xml:space="preserve"> </w:t>
      </w:r>
      <w:r>
        <w:rPr>
          <w:rFonts w:cs="Arial"/>
        </w:rPr>
        <w:t xml:space="preserve">Facility </w:t>
      </w:r>
      <w:proofErr w:type="gramStart"/>
      <w:r>
        <w:rPr>
          <w:rFonts w:cs="Arial"/>
        </w:rPr>
        <w:t>is capable of operating</w:t>
      </w:r>
      <w:proofErr w:type="gramEnd"/>
      <w:r>
        <w:rPr>
          <w:rFonts w:cs="Arial"/>
        </w:rPr>
        <w:t xml:space="preserve"> at an ambient temperature down to -30° Celsius (-22° Fahrenheit). </w:t>
      </w:r>
    </w:p>
    <w:p w14:paraId="1D25944F" w14:textId="77777777" w:rsidR="00B63F33" w:rsidRDefault="00B63F33">
      <w:pPr>
        <w:ind w:left="180" w:hanging="180"/>
        <w:jc w:val="both"/>
      </w:pPr>
    </w:p>
    <w:p w14:paraId="27CE1D06" w14:textId="77777777" w:rsidR="00B63F33" w:rsidRDefault="00B63F33">
      <w:pPr>
        <w:ind w:left="180" w:hanging="180"/>
        <w:jc w:val="both"/>
      </w:pPr>
    </w:p>
    <w:p w14:paraId="086B3AC2" w14:textId="77777777" w:rsidR="00B63F33" w:rsidRDefault="00B63F33" w:rsidP="00BE3073">
      <w:pPr>
        <w:jc w:val="both"/>
      </w:pPr>
    </w:p>
    <w:p w14:paraId="14B9EC69" w14:textId="28B1AFD6" w:rsidR="00B63F33" w:rsidRDefault="00B63F33">
      <w:pPr>
        <w:ind w:left="180" w:hanging="180"/>
        <w:jc w:val="both"/>
      </w:pPr>
      <w:bookmarkStart w:id="744" w:name="_Hlk97900912"/>
      <w:r>
        <w:t>*</w:t>
      </w:r>
      <w:r w:rsidR="00CC437C" w:rsidRPr="00CC437C">
        <w:rPr>
          <w:color w:val="FF0000"/>
          <w:highlight w:val="yellow"/>
        </w:rPr>
        <w:t>[solar]</w:t>
      </w:r>
      <w:r w:rsidR="00CC437C" w:rsidRPr="00CC437C">
        <w:rPr>
          <w:color w:val="FF0000"/>
        </w:rPr>
        <w:t xml:space="preserve"> </w:t>
      </w:r>
      <w:r w:rsidRPr="00CC437C">
        <w:rPr>
          <w:color w:val="FF0000"/>
        </w:rPr>
        <w:t xml:space="preserve"> </w:t>
      </w:r>
      <w:r>
        <w:t xml:space="preserve">DC and AC capacity of Facility </w:t>
      </w:r>
      <w:r>
        <w:rPr>
          <w:highlight w:val="yellow"/>
        </w:rPr>
        <w:t>(from Seller’s bid) [____DC][___AC</w:t>
      </w:r>
      <w:r>
        <w:t>]</w:t>
      </w:r>
      <w:r w:rsidR="007B0BD1">
        <w:t>.</w:t>
      </w:r>
      <w:r>
        <w:t xml:space="preserve"> </w:t>
      </w:r>
      <w:bookmarkEnd w:id="744"/>
    </w:p>
    <w:p w14:paraId="3BAF3A02" w14:textId="77777777" w:rsidR="00B63F33" w:rsidRDefault="00B63F33">
      <w:pPr>
        <w:ind w:left="180" w:hanging="180"/>
        <w:jc w:val="both"/>
      </w:pPr>
    </w:p>
    <w:p w14:paraId="1D314D5D" w14:textId="7BF4E94C" w:rsidR="00EB1AE0" w:rsidRDefault="00EB1AE0" w:rsidP="005357FF">
      <w:pPr>
        <w:jc w:val="both"/>
      </w:pPr>
    </w:p>
    <w:p w14:paraId="3BF674A3" w14:textId="2F925E1D" w:rsidR="00B63F33" w:rsidRDefault="00B63F33" w:rsidP="005357FF">
      <w:pPr>
        <w:jc w:val="both"/>
      </w:pPr>
      <w:r>
        <w:t>The proposed Facility includes the components that are equivalent to, or better than, the following:</w:t>
      </w:r>
    </w:p>
    <w:p w14:paraId="78E56B5A" w14:textId="77777777" w:rsidR="00B63F33" w:rsidRDefault="00B63F33">
      <w:pPr>
        <w:ind w:left="180" w:hanging="180"/>
        <w:jc w:val="both"/>
      </w:pPr>
    </w:p>
    <w:p w14:paraId="1454493E" w14:textId="77777777" w:rsidR="00B63F33" w:rsidRDefault="00B63F33">
      <w:pPr>
        <w:outlineLvl w:val="0"/>
      </w:pPr>
    </w:p>
    <w:p w14:paraId="008A9895" w14:textId="77777777" w:rsidR="00B63F33" w:rsidRDefault="00B63F33">
      <w:r>
        <w:rPr>
          <w:highlight w:val="yellow"/>
        </w:rPr>
        <w:t>[</w:t>
      </w:r>
      <w:r>
        <w:rPr>
          <w:i/>
          <w:color w:val="FF0000"/>
          <w:highlight w:val="yellow"/>
        </w:rPr>
        <w:t>Additional Bid Specific requirements to be added</w:t>
      </w:r>
      <w:r>
        <w:rPr>
          <w:highlight w:val="yellow"/>
        </w:rPr>
        <w:t>]</w:t>
      </w:r>
    </w:p>
    <w:p w14:paraId="600C436D" w14:textId="77777777" w:rsidR="00B63F33" w:rsidRDefault="00B63F33">
      <w:pPr>
        <w:outlineLvl w:val="0"/>
      </w:pPr>
    </w:p>
    <w:p w14:paraId="51838863" w14:textId="77777777" w:rsidR="00B63F33" w:rsidRDefault="00B63F33">
      <w:pPr>
        <w:jc w:val="center"/>
        <w:sectPr w:rsidR="00B63F33">
          <w:footerReference w:type="default" r:id="rId43"/>
          <w:footerReference w:type="first" r:id="rId44"/>
          <w:pgSz w:w="12240" w:h="15840"/>
          <w:pgMar w:top="1440" w:right="1350" w:bottom="1440" w:left="1710" w:header="720" w:footer="720" w:gutter="0"/>
          <w:pgNumType w:start="1" w:chapStyle="1"/>
          <w:cols w:space="720"/>
          <w:titlePg/>
          <w:docGrid w:linePitch="360"/>
        </w:sectPr>
      </w:pPr>
    </w:p>
    <w:p w14:paraId="22C8582F" w14:textId="396FCED0" w:rsidR="00B63F33" w:rsidRDefault="004666F5" w:rsidP="005357FF">
      <w:pPr>
        <w:pStyle w:val="ExhibitTitle"/>
      </w:pPr>
      <w:bookmarkStart w:id="745" w:name="_Toc149813154"/>
      <w:bookmarkStart w:id="746" w:name="_Toc433954236"/>
      <w:bookmarkStart w:id="747" w:name="_Ref149813928"/>
      <w:bookmarkStart w:id="748" w:name="_Ref149814252"/>
      <w:bookmarkStart w:id="749" w:name="_Ref149814257"/>
      <w:bookmarkStart w:id="750" w:name="_Toc150954971"/>
      <w:r>
        <w:lastRenderedPageBreak/>
        <w:t xml:space="preserve">EXHIBIT </w:t>
      </w:r>
      <w:fldSimple w:instr=" SEQ EXHIBIT \* ALPHABETIC ">
        <w:r w:rsidR="00BC3574">
          <w:rPr>
            <w:noProof/>
          </w:rPr>
          <w:t>D</w:t>
        </w:r>
      </w:fldSimple>
      <w:r>
        <w:t xml:space="preserve"> - </w:t>
      </w:r>
      <w:r w:rsidR="00B63F33">
        <w:t>NOTICES AND CONTACT INFORMATION</w:t>
      </w:r>
      <w:bookmarkEnd w:id="745"/>
      <w:bookmarkEnd w:id="746"/>
      <w:bookmarkEnd w:id="747"/>
      <w:bookmarkEnd w:id="748"/>
      <w:bookmarkEnd w:id="749"/>
      <w:bookmarkEnd w:id="750"/>
    </w:p>
    <w:p w14:paraId="7AEBCA54" w14:textId="77777777" w:rsidR="00B63F33" w:rsidRDefault="00B63F33">
      <w:pPr>
        <w:spacing w:after="120"/>
        <w:jc w:val="center"/>
        <w:outlineLvl w:val="0"/>
        <w:rPr>
          <w:b/>
        </w:rPr>
      </w:pPr>
    </w:p>
    <w:p w14:paraId="42BDEEC1" w14:textId="77777777" w:rsidR="00B63F33" w:rsidRDefault="00B63F33">
      <w:pPr>
        <w:spacing w:after="120"/>
        <w:ind w:left="5400" w:hanging="4770"/>
        <w:outlineLvl w:val="0"/>
        <w:rPr>
          <w:b/>
        </w:rPr>
      </w:pPr>
      <w:r>
        <w:rPr>
          <w:b/>
        </w:rPr>
        <w:t xml:space="preserve">       </w:t>
      </w:r>
      <w:r>
        <w:rPr>
          <w:b/>
          <w:u w:val="single"/>
        </w:rPr>
        <w:t>Company</w:t>
      </w:r>
      <w:r>
        <w:rPr>
          <w:b/>
        </w:rPr>
        <w:tab/>
        <w:t xml:space="preserve">     </w:t>
      </w:r>
      <w:r>
        <w:rPr>
          <w:b/>
          <w:u w:val="single"/>
        </w:rPr>
        <w:t>Seller</w:t>
      </w:r>
      <w:r>
        <w:rPr>
          <w:b/>
        </w:rPr>
        <w:fldChar w:fldCharType="begin"/>
      </w:r>
      <w:r>
        <w:instrText xml:space="preserve"> TC \l "1"</w:instrText>
      </w:r>
      <w:r>
        <w:rPr>
          <w:b/>
        </w:rP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4590"/>
      </w:tblGrid>
      <w:tr w:rsidR="00B63F33" w14:paraId="5FE547EE" w14:textId="77777777" w:rsidTr="00691098">
        <w:trPr>
          <w:jc w:val="center"/>
        </w:trPr>
        <w:tc>
          <w:tcPr>
            <w:tcW w:w="4428" w:type="dxa"/>
          </w:tcPr>
          <w:p w14:paraId="0B7D2DDF" w14:textId="77777777" w:rsidR="00B63F33" w:rsidRDefault="00B63F33">
            <w:pPr>
              <w:spacing w:before="60" w:after="60"/>
              <w:rPr>
                <w:b/>
                <w:sz w:val="22"/>
                <w:szCs w:val="22"/>
              </w:rPr>
            </w:pPr>
            <w:r>
              <w:rPr>
                <w:b/>
                <w:sz w:val="22"/>
                <w:szCs w:val="22"/>
              </w:rPr>
              <w:t>Notices:</w:t>
            </w:r>
          </w:p>
          <w:p w14:paraId="5C5569A0" w14:textId="6611CF4D" w:rsidR="00B63F33" w:rsidRDefault="00B63F33">
            <w:pPr>
              <w:ind w:left="173"/>
              <w:rPr>
                <w:sz w:val="22"/>
                <w:szCs w:val="22"/>
              </w:rPr>
            </w:pPr>
          </w:p>
          <w:p w14:paraId="53C20002" w14:textId="544AA366" w:rsidR="00B63F33" w:rsidRDefault="00716F6E">
            <w:pPr>
              <w:ind w:left="171"/>
              <w:rPr>
                <w:sz w:val="22"/>
                <w:szCs w:val="22"/>
              </w:rPr>
            </w:pPr>
            <w:r>
              <w:rPr>
                <w:sz w:val="22"/>
                <w:szCs w:val="22"/>
              </w:rPr>
              <w:t xml:space="preserve">Director, Purchased Power </w:t>
            </w:r>
          </w:p>
          <w:p w14:paraId="5487213F" w14:textId="77777777" w:rsidR="00B63F33" w:rsidRDefault="00B63F33">
            <w:pPr>
              <w:ind w:left="171"/>
              <w:rPr>
                <w:sz w:val="22"/>
                <w:szCs w:val="22"/>
              </w:rPr>
            </w:pPr>
            <w:r>
              <w:rPr>
                <w:sz w:val="22"/>
                <w:szCs w:val="22"/>
              </w:rPr>
              <w:t>Xcel Energy Services Inc.</w:t>
            </w:r>
          </w:p>
          <w:p w14:paraId="5F134387" w14:textId="77777777" w:rsidR="00B63F33" w:rsidRDefault="00B63F33">
            <w:pPr>
              <w:ind w:left="171"/>
              <w:rPr>
                <w:sz w:val="22"/>
                <w:szCs w:val="22"/>
              </w:rPr>
            </w:pPr>
            <w:r>
              <w:rPr>
                <w:sz w:val="22"/>
                <w:szCs w:val="22"/>
              </w:rPr>
              <w:t xml:space="preserve">1800 Larimer Street, Suite 1000 </w:t>
            </w:r>
          </w:p>
          <w:p w14:paraId="0112837D" w14:textId="77777777" w:rsidR="00B63F33" w:rsidRDefault="00B63F33">
            <w:pPr>
              <w:ind w:left="171"/>
              <w:rPr>
                <w:sz w:val="22"/>
                <w:szCs w:val="22"/>
              </w:rPr>
            </w:pPr>
            <w:r>
              <w:rPr>
                <w:sz w:val="22"/>
                <w:szCs w:val="22"/>
              </w:rPr>
              <w:t>Denver, CO  80202</w:t>
            </w:r>
          </w:p>
          <w:p w14:paraId="0B437B52" w14:textId="2D3A67D1" w:rsidR="009F3C3E" w:rsidRDefault="00B63F33">
            <w:pPr>
              <w:ind w:left="261"/>
              <w:rPr>
                <w:sz w:val="22"/>
                <w:szCs w:val="22"/>
              </w:rPr>
            </w:pPr>
            <w:r>
              <w:rPr>
                <w:sz w:val="22"/>
                <w:szCs w:val="22"/>
              </w:rPr>
              <w:t>Email:</w:t>
            </w:r>
          </w:p>
          <w:p w14:paraId="5F3366E1" w14:textId="62EF23F6" w:rsidR="00B63F33" w:rsidRDefault="00B63F33" w:rsidP="005357FF">
            <w:pPr>
              <w:rPr>
                <w:sz w:val="22"/>
                <w:szCs w:val="22"/>
              </w:rPr>
            </w:pPr>
            <w:r>
              <w:rPr>
                <w:sz w:val="22"/>
                <w:szCs w:val="22"/>
              </w:rPr>
              <w:t>purchasedpowernotices@xcelenergy.com</w:t>
            </w:r>
          </w:p>
          <w:p w14:paraId="51FEA259" w14:textId="77777777" w:rsidR="00B63F33" w:rsidRDefault="00B63F33">
            <w:pPr>
              <w:ind w:left="171"/>
              <w:rPr>
                <w:sz w:val="22"/>
                <w:szCs w:val="22"/>
              </w:rPr>
            </w:pPr>
          </w:p>
          <w:p w14:paraId="30A71DA7" w14:textId="77777777" w:rsidR="00B63F33" w:rsidRDefault="00B63F33">
            <w:pPr>
              <w:spacing w:before="120"/>
              <w:rPr>
                <w:i/>
                <w:sz w:val="22"/>
                <w:szCs w:val="22"/>
              </w:rPr>
            </w:pPr>
            <w:r>
              <w:rPr>
                <w:i/>
                <w:sz w:val="22"/>
                <w:szCs w:val="22"/>
              </w:rPr>
              <w:t>with a cc to:</w:t>
            </w:r>
          </w:p>
          <w:p w14:paraId="4DD590FE" w14:textId="519DE101" w:rsidR="00B63F33" w:rsidRDefault="00B63F33">
            <w:pPr>
              <w:ind w:left="171"/>
              <w:rPr>
                <w:sz w:val="22"/>
                <w:szCs w:val="22"/>
              </w:rPr>
            </w:pPr>
            <w:r>
              <w:rPr>
                <w:sz w:val="22"/>
                <w:szCs w:val="22"/>
              </w:rPr>
              <w:t>Purchased Power Consultant</w:t>
            </w:r>
          </w:p>
          <w:p w14:paraId="1528432F" w14:textId="77777777" w:rsidR="00B63F33" w:rsidRDefault="00B63F33">
            <w:pPr>
              <w:ind w:left="171"/>
              <w:rPr>
                <w:sz w:val="22"/>
                <w:szCs w:val="22"/>
              </w:rPr>
            </w:pPr>
            <w:r>
              <w:rPr>
                <w:sz w:val="22"/>
                <w:szCs w:val="22"/>
              </w:rPr>
              <w:t>Xcel Energy Services Inc.</w:t>
            </w:r>
          </w:p>
          <w:p w14:paraId="44A60C8F" w14:textId="77777777" w:rsidR="00B63F33" w:rsidRDefault="00B63F33">
            <w:pPr>
              <w:ind w:left="171"/>
              <w:rPr>
                <w:sz w:val="22"/>
                <w:szCs w:val="22"/>
              </w:rPr>
            </w:pPr>
            <w:r>
              <w:rPr>
                <w:sz w:val="22"/>
                <w:szCs w:val="22"/>
              </w:rPr>
              <w:t>1800 Larimer Street, Suite 1000</w:t>
            </w:r>
          </w:p>
          <w:p w14:paraId="313CA36A" w14:textId="77777777" w:rsidR="00B63F33" w:rsidRDefault="00B63F33">
            <w:pPr>
              <w:ind w:left="171"/>
              <w:rPr>
                <w:sz w:val="22"/>
                <w:szCs w:val="22"/>
              </w:rPr>
            </w:pPr>
            <w:r>
              <w:rPr>
                <w:sz w:val="22"/>
                <w:szCs w:val="22"/>
              </w:rPr>
              <w:t>Denver, CO  80202</w:t>
            </w:r>
          </w:p>
          <w:p w14:paraId="01618A78" w14:textId="34AD86CE" w:rsidR="009F3C3E" w:rsidRDefault="00B63F33">
            <w:pPr>
              <w:ind w:left="261"/>
              <w:rPr>
                <w:sz w:val="22"/>
                <w:szCs w:val="22"/>
              </w:rPr>
            </w:pPr>
            <w:r>
              <w:rPr>
                <w:sz w:val="22"/>
                <w:szCs w:val="22"/>
              </w:rPr>
              <w:t>Email:</w:t>
            </w:r>
          </w:p>
          <w:p w14:paraId="41B33706" w14:textId="1B7F6565" w:rsidR="00B63F33" w:rsidRDefault="00B63F33" w:rsidP="005357FF">
            <w:pPr>
              <w:rPr>
                <w:sz w:val="22"/>
                <w:szCs w:val="22"/>
              </w:rPr>
            </w:pPr>
            <w:r w:rsidRPr="005357FF">
              <w:rPr>
                <w:sz w:val="22"/>
              </w:rPr>
              <w:t>purchasedpowernotices</w:t>
            </w:r>
            <w:r w:rsidRPr="009F3C3E">
              <w:rPr>
                <w:sz w:val="22"/>
                <w:szCs w:val="22"/>
              </w:rPr>
              <w:t>@xcelenergy</w:t>
            </w:r>
            <w:r>
              <w:rPr>
                <w:sz w:val="22"/>
                <w:szCs w:val="22"/>
              </w:rPr>
              <w:t>.com</w:t>
            </w:r>
          </w:p>
          <w:p w14:paraId="1352AD89" w14:textId="77777777" w:rsidR="00B63F33" w:rsidRDefault="00B63F33">
            <w:pPr>
              <w:ind w:left="171"/>
              <w:rPr>
                <w:sz w:val="22"/>
                <w:szCs w:val="22"/>
              </w:rPr>
            </w:pPr>
          </w:p>
          <w:p w14:paraId="65D817C4" w14:textId="77777777" w:rsidR="00B63F33" w:rsidRDefault="00B63F33">
            <w:pPr>
              <w:rPr>
                <w:sz w:val="22"/>
                <w:szCs w:val="22"/>
              </w:rPr>
            </w:pPr>
          </w:p>
        </w:tc>
        <w:tc>
          <w:tcPr>
            <w:tcW w:w="4590" w:type="dxa"/>
          </w:tcPr>
          <w:p w14:paraId="2E14A07B" w14:textId="77777777" w:rsidR="00B63F33" w:rsidRDefault="00B63F33">
            <w:pPr>
              <w:spacing w:before="60" w:after="60"/>
              <w:rPr>
                <w:b/>
                <w:sz w:val="22"/>
                <w:szCs w:val="22"/>
              </w:rPr>
            </w:pPr>
            <w:r>
              <w:rPr>
                <w:b/>
                <w:sz w:val="22"/>
                <w:szCs w:val="22"/>
              </w:rPr>
              <w:t>Notices:</w:t>
            </w:r>
          </w:p>
          <w:p w14:paraId="685D6633" w14:textId="77777777" w:rsidR="00B63F33" w:rsidRDefault="00B63F33">
            <w:pPr>
              <w:ind w:left="158"/>
              <w:rPr>
                <w:sz w:val="22"/>
                <w:szCs w:val="22"/>
                <w:highlight w:val="yellow"/>
              </w:rPr>
            </w:pPr>
            <w:r>
              <w:rPr>
                <w:sz w:val="22"/>
                <w:szCs w:val="22"/>
                <w:highlight w:val="yellow"/>
              </w:rPr>
              <w:t xml:space="preserve">_________________________ </w:t>
            </w:r>
          </w:p>
          <w:p w14:paraId="6226925C" w14:textId="77777777" w:rsidR="00B63F33" w:rsidRDefault="00B63F33">
            <w:pPr>
              <w:ind w:left="158"/>
              <w:rPr>
                <w:sz w:val="22"/>
                <w:szCs w:val="22"/>
                <w:highlight w:val="yellow"/>
              </w:rPr>
            </w:pPr>
            <w:r>
              <w:rPr>
                <w:sz w:val="22"/>
                <w:szCs w:val="22"/>
                <w:highlight w:val="yellow"/>
              </w:rPr>
              <w:t xml:space="preserve">_________________________ </w:t>
            </w:r>
          </w:p>
          <w:p w14:paraId="7CC9B979" w14:textId="77777777" w:rsidR="00B63F33" w:rsidRDefault="00B63F33">
            <w:pPr>
              <w:ind w:left="158"/>
              <w:rPr>
                <w:sz w:val="22"/>
                <w:szCs w:val="22"/>
                <w:highlight w:val="yellow"/>
              </w:rPr>
            </w:pPr>
            <w:r>
              <w:rPr>
                <w:sz w:val="22"/>
                <w:szCs w:val="22"/>
                <w:highlight w:val="yellow"/>
              </w:rPr>
              <w:t xml:space="preserve">_________________________ </w:t>
            </w:r>
          </w:p>
          <w:p w14:paraId="61DD3FEE" w14:textId="77777777" w:rsidR="00B63F33" w:rsidRDefault="00B63F33">
            <w:pPr>
              <w:ind w:left="261"/>
              <w:rPr>
                <w:sz w:val="22"/>
                <w:szCs w:val="22"/>
              </w:rPr>
            </w:pPr>
            <w:r>
              <w:rPr>
                <w:sz w:val="22"/>
                <w:szCs w:val="22"/>
              </w:rPr>
              <w:t xml:space="preserve">Phone: </w:t>
            </w:r>
            <w:r>
              <w:rPr>
                <w:sz w:val="22"/>
                <w:szCs w:val="22"/>
                <w:highlight w:val="yellow"/>
              </w:rPr>
              <w:t>_________</w:t>
            </w:r>
          </w:p>
          <w:p w14:paraId="7FEA79BB" w14:textId="77777777" w:rsidR="00B63F33" w:rsidRDefault="00B63F33">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614CE6D4" w14:textId="77777777" w:rsidR="00B63F33" w:rsidRDefault="00B63F33">
            <w:pPr>
              <w:ind w:left="180"/>
              <w:rPr>
                <w:sz w:val="22"/>
                <w:szCs w:val="22"/>
              </w:rPr>
            </w:pPr>
          </w:p>
          <w:p w14:paraId="5E40426F" w14:textId="77777777" w:rsidR="00B63F33" w:rsidRDefault="00B63F33">
            <w:pPr>
              <w:spacing w:before="60"/>
              <w:ind w:left="153"/>
              <w:rPr>
                <w:sz w:val="22"/>
                <w:szCs w:val="22"/>
              </w:rPr>
            </w:pPr>
          </w:p>
          <w:p w14:paraId="624179FC" w14:textId="77777777" w:rsidR="00B63F33" w:rsidRDefault="00B63F33">
            <w:pPr>
              <w:rPr>
                <w:i/>
                <w:sz w:val="22"/>
                <w:szCs w:val="22"/>
              </w:rPr>
            </w:pPr>
            <w:r>
              <w:rPr>
                <w:i/>
                <w:sz w:val="22"/>
                <w:szCs w:val="22"/>
              </w:rPr>
              <w:t>with a cc to:</w:t>
            </w:r>
          </w:p>
          <w:p w14:paraId="04F19457" w14:textId="77777777" w:rsidR="00B63F33" w:rsidRDefault="00B63F33">
            <w:pPr>
              <w:ind w:left="158"/>
              <w:rPr>
                <w:sz w:val="22"/>
                <w:szCs w:val="22"/>
                <w:highlight w:val="yellow"/>
              </w:rPr>
            </w:pPr>
            <w:r>
              <w:rPr>
                <w:sz w:val="22"/>
                <w:szCs w:val="22"/>
                <w:highlight w:val="yellow"/>
              </w:rPr>
              <w:t xml:space="preserve">_________________________ </w:t>
            </w:r>
          </w:p>
          <w:p w14:paraId="42D46E46" w14:textId="77777777" w:rsidR="00B63F33" w:rsidRDefault="00B63F33">
            <w:pPr>
              <w:ind w:left="158"/>
              <w:rPr>
                <w:sz w:val="22"/>
                <w:szCs w:val="22"/>
                <w:highlight w:val="yellow"/>
              </w:rPr>
            </w:pPr>
            <w:r>
              <w:rPr>
                <w:sz w:val="22"/>
                <w:szCs w:val="22"/>
                <w:highlight w:val="yellow"/>
              </w:rPr>
              <w:t xml:space="preserve">_________________________ </w:t>
            </w:r>
          </w:p>
          <w:p w14:paraId="6A9754C2" w14:textId="77777777" w:rsidR="00B63F33" w:rsidRDefault="00B63F33">
            <w:pPr>
              <w:ind w:left="158"/>
              <w:rPr>
                <w:sz w:val="22"/>
                <w:szCs w:val="22"/>
                <w:highlight w:val="yellow"/>
              </w:rPr>
            </w:pPr>
            <w:r>
              <w:rPr>
                <w:sz w:val="22"/>
                <w:szCs w:val="22"/>
                <w:highlight w:val="yellow"/>
              </w:rPr>
              <w:t xml:space="preserve">_________________________ </w:t>
            </w:r>
          </w:p>
          <w:p w14:paraId="4A9B94CE" w14:textId="77777777" w:rsidR="00B63F33" w:rsidRDefault="00B63F33">
            <w:pPr>
              <w:ind w:left="261"/>
              <w:rPr>
                <w:sz w:val="22"/>
                <w:szCs w:val="22"/>
              </w:rPr>
            </w:pPr>
            <w:r>
              <w:rPr>
                <w:sz w:val="22"/>
                <w:szCs w:val="22"/>
              </w:rPr>
              <w:t xml:space="preserve">Phone: </w:t>
            </w:r>
            <w:r>
              <w:rPr>
                <w:sz w:val="22"/>
                <w:szCs w:val="22"/>
                <w:highlight w:val="yellow"/>
              </w:rPr>
              <w:t>_________</w:t>
            </w:r>
          </w:p>
          <w:p w14:paraId="4DA8861E" w14:textId="77777777" w:rsidR="00B63F33" w:rsidRDefault="00B63F33">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552DFA39" w14:textId="77777777" w:rsidR="00B63F33" w:rsidRDefault="00B63F33">
            <w:pPr>
              <w:ind w:left="153"/>
              <w:rPr>
                <w:sz w:val="22"/>
                <w:szCs w:val="22"/>
              </w:rPr>
            </w:pPr>
          </w:p>
        </w:tc>
      </w:tr>
      <w:tr w:rsidR="00B63F33" w14:paraId="6080E7D6" w14:textId="77777777" w:rsidTr="00691098">
        <w:trPr>
          <w:jc w:val="center"/>
        </w:trPr>
        <w:tc>
          <w:tcPr>
            <w:tcW w:w="4428" w:type="dxa"/>
          </w:tcPr>
          <w:p w14:paraId="7A054C86" w14:textId="77777777" w:rsidR="00B63F33" w:rsidRDefault="00B63F33">
            <w:pPr>
              <w:spacing w:before="60"/>
              <w:rPr>
                <w:b/>
                <w:sz w:val="22"/>
                <w:szCs w:val="22"/>
              </w:rPr>
            </w:pPr>
            <w:r>
              <w:rPr>
                <w:b/>
                <w:sz w:val="22"/>
                <w:szCs w:val="22"/>
              </w:rPr>
              <w:t>Operating Committee Representative:</w:t>
            </w:r>
          </w:p>
          <w:p w14:paraId="4AD15B73" w14:textId="16ED044B" w:rsidR="00B63F33" w:rsidRDefault="00354BE9">
            <w:pPr>
              <w:ind w:left="180"/>
              <w:rPr>
                <w:sz w:val="22"/>
                <w:szCs w:val="22"/>
              </w:rPr>
            </w:pPr>
            <w:r>
              <w:rPr>
                <w:sz w:val="22"/>
                <w:szCs w:val="22"/>
              </w:rPr>
              <w:t xml:space="preserve">Director, Purchased Power </w:t>
            </w:r>
          </w:p>
          <w:p w14:paraId="5CAE3879" w14:textId="77777777" w:rsidR="00B63F33" w:rsidRDefault="00B63F33">
            <w:pPr>
              <w:ind w:left="180"/>
              <w:rPr>
                <w:sz w:val="22"/>
                <w:szCs w:val="22"/>
              </w:rPr>
            </w:pPr>
            <w:r>
              <w:rPr>
                <w:sz w:val="22"/>
                <w:szCs w:val="22"/>
              </w:rPr>
              <w:t>Xcel Energy Services Inc.</w:t>
            </w:r>
          </w:p>
          <w:p w14:paraId="22B950CD" w14:textId="77777777" w:rsidR="00B63F33" w:rsidRDefault="00B63F33">
            <w:pPr>
              <w:ind w:left="180"/>
              <w:rPr>
                <w:sz w:val="22"/>
                <w:szCs w:val="22"/>
              </w:rPr>
            </w:pPr>
            <w:r>
              <w:rPr>
                <w:sz w:val="22"/>
                <w:szCs w:val="22"/>
              </w:rPr>
              <w:t>1800 Larimer Street, Suite 1000</w:t>
            </w:r>
          </w:p>
          <w:p w14:paraId="3A5D8FF4" w14:textId="77777777" w:rsidR="00B63F33" w:rsidRDefault="00B63F33">
            <w:pPr>
              <w:ind w:left="180"/>
              <w:rPr>
                <w:sz w:val="22"/>
                <w:szCs w:val="22"/>
              </w:rPr>
            </w:pPr>
            <w:r>
              <w:rPr>
                <w:sz w:val="22"/>
                <w:szCs w:val="22"/>
              </w:rPr>
              <w:t>Denver, CO  80202</w:t>
            </w:r>
          </w:p>
          <w:p w14:paraId="4BF37D4D" w14:textId="00196A6D" w:rsidR="009F3C3E" w:rsidRDefault="00B63F33">
            <w:pPr>
              <w:ind w:left="261"/>
              <w:rPr>
                <w:sz w:val="22"/>
                <w:szCs w:val="22"/>
              </w:rPr>
            </w:pPr>
            <w:r>
              <w:rPr>
                <w:sz w:val="22"/>
                <w:szCs w:val="22"/>
              </w:rPr>
              <w:t>Email:</w:t>
            </w:r>
          </w:p>
          <w:p w14:paraId="6A7AB679" w14:textId="15467B43" w:rsidR="00B63F33" w:rsidRDefault="00B63F33" w:rsidP="005357FF">
            <w:pPr>
              <w:rPr>
                <w:sz w:val="22"/>
                <w:szCs w:val="22"/>
              </w:rPr>
            </w:pPr>
            <w:r w:rsidRPr="005357FF">
              <w:rPr>
                <w:sz w:val="22"/>
              </w:rPr>
              <w:t>purchasedpowernotices</w:t>
            </w:r>
            <w:r w:rsidRPr="009F3C3E">
              <w:rPr>
                <w:sz w:val="22"/>
                <w:szCs w:val="22"/>
              </w:rPr>
              <w:t>@</w:t>
            </w:r>
            <w:r>
              <w:rPr>
                <w:sz w:val="22"/>
                <w:szCs w:val="22"/>
              </w:rPr>
              <w:t>xcelenergy.com</w:t>
            </w:r>
          </w:p>
          <w:p w14:paraId="00B7257D" w14:textId="77777777" w:rsidR="00B63F33" w:rsidRDefault="00B63F33">
            <w:pPr>
              <w:rPr>
                <w:sz w:val="22"/>
                <w:szCs w:val="22"/>
              </w:rPr>
            </w:pPr>
          </w:p>
          <w:p w14:paraId="0D25E49C" w14:textId="77777777" w:rsidR="00B63F33" w:rsidRDefault="00B63F33">
            <w:pPr>
              <w:rPr>
                <w:b/>
                <w:sz w:val="22"/>
                <w:szCs w:val="22"/>
              </w:rPr>
            </w:pPr>
            <w:r>
              <w:rPr>
                <w:b/>
                <w:sz w:val="22"/>
                <w:szCs w:val="22"/>
              </w:rPr>
              <w:t>Alternate:</w:t>
            </w:r>
          </w:p>
          <w:p w14:paraId="01BFF0FF" w14:textId="09256EF3" w:rsidR="00B63F33" w:rsidRDefault="00B63F33">
            <w:pPr>
              <w:ind w:left="171"/>
              <w:rPr>
                <w:sz w:val="22"/>
                <w:szCs w:val="22"/>
              </w:rPr>
            </w:pPr>
          </w:p>
          <w:p w14:paraId="3B8D07B8" w14:textId="6597940B" w:rsidR="00B63F33" w:rsidRDefault="00B63F33">
            <w:pPr>
              <w:ind w:left="171"/>
              <w:rPr>
                <w:sz w:val="22"/>
                <w:szCs w:val="22"/>
              </w:rPr>
            </w:pPr>
            <w:r>
              <w:rPr>
                <w:sz w:val="22"/>
                <w:szCs w:val="22"/>
              </w:rPr>
              <w:t>Purchased Power Consultant</w:t>
            </w:r>
          </w:p>
          <w:p w14:paraId="2C6DEBF6" w14:textId="77777777" w:rsidR="00B63F33" w:rsidRDefault="00B63F33">
            <w:pPr>
              <w:ind w:left="171"/>
              <w:rPr>
                <w:sz w:val="22"/>
                <w:szCs w:val="22"/>
              </w:rPr>
            </w:pPr>
            <w:r>
              <w:rPr>
                <w:sz w:val="22"/>
                <w:szCs w:val="22"/>
              </w:rPr>
              <w:t>Xcel Energy Services Inc.</w:t>
            </w:r>
          </w:p>
          <w:p w14:paraId="10020174" w14:textId="77777777" w:rsidR="00B63F33" w:rsidRDefault="00B63F33">
            <w:pPr>
              <w:ind w:left="171"/>
              <w:rPr>
                <w:sz w:val="22"/>
                <w:szCs w:val="22"/>
              </w:rPr>
            </w:pPr>
            <w:r>
              <w:rPr>
                <w:sz w:val="22"/>
                <w:szCs w:val="22"/>
              </w:rPr>
              <w:t>1800 Larimer Street, Suite 1000</w:t>
            </w:r>
          </w:p>
          <w:p w14:paraId="37FE84C0" w14:textId="77777777" w:rsidR="00B63F33" w:rsidRDefault="00B63F33">
            <w:pPr>
              <w:ind w:left="171"/>
              <w:rPr>
                <w:sz w:val="22"/>
                <w:szCs w:val="22"/>
              </w:rPr>
            </w:pPr>
            <w:r>
              <w:rPr>
                <w:sz w:val="22"/>
                <w:szCs w:val="22"/>
              </w:rPr>
              <w:t>Denver, CO 80202</w:t>
            </w:r>
          </w:p>
          <w:p w14:paraId="03653AD1" w14:textId="10621CC2" w:rsidR="009F3C3E" w:rsidRDefault="00B63F33" w:rsidP="009F3C3E">
            <w:pPr>
              <w:rPr>
                <w:sz w:val="22"/>
                <w:szCs w:val="22"/>
              </w:rPr>
            </w:pPr>
            <w:r>
              <w:rPr>
                <w:sz w:val="22"/>
                <w:szCs w:val="22"/>
              </w:rPr>
              <w:t>Email:</w:t>
            </w:r>
          </w:p>
          <w:p w14:paraId="7FAD4A77" w14:textId="52362CE5" w:rsidR="00B63F33" w:rsidRDefault="00B63F33" w:rsidP="005357FF">
            <w:pPr>
              <w:rPr>
                <w:sz w:val="22"/>
                <w:szCs w:val="22"/>
              </w:rPr>
            </w:pPr>
            <w:r w:rsidRPr="005357FF">
              <w:rPr>
                <w:sz w:val="22"/>
              </w:rPr>
              <w:t>purchasedpowernotices</w:t>
            </w:r>
            <w:r>
              <w:rPr>
                <w:sz w:val="22"/>
                <w:szCs w:val="22"/>
              </w:rPr>
              <w:t>@xcelenergy.com</w:t>
            </w:r>
          </w:p>
          <w:p w14:paraId="360EB9C2" w14:textId="77777777" w:rsidR="00B63F33" w:rsidRDefault="00B63F33">
            <w:pPr>
              <w:tabs>
                <w:tab w:val="center" w:pos="4680"/>
                <w:tab w:val="right" w:pos="9360"/>
              </w:tabs>
              <w:ind w:left="171"/>
              <w:rPr>
                <w:sz w:val="22"/>
                <w:szCs w:val="22"/>
              </w:rPr>
            </w:pPr>
          </w:p>
        </w:tc>
        <w:tc>
          <w:tcPr>
            <w:tcW w:w="4590" w:type="dxa"/>
          </w:tcPr>
          <w:p w14:paraId="6DF90B22" w14:textId="77777777" w:rsidR="00B63F33" w:rsidRDefault="00B63F33">
            <w:pPr>
              <w:spacing w:before="60"/>
              <w:rPr>
                <w:b/>
                <w:sz w:val="22"/>
                <w:szCs w:val="22"/>
              </w:rPr>
            </w:pPr>
            <w:r>
              <w:rPr>
                <w:b/>
                <w:sz w:val="22"/>
                <w:szCs w:val="22"/>
              </w:rPr>
              <w:t>Operating Committee Representative:</w:t>
            </w:r>
          </w:p>
          <w:p w14:paraId="062D1862" w14:textId="77777777" w:rsidR="00B63F33" w:rsidRDefault="00B63F33">
            <w:pPr>
              <w:ind w:left="158"/>
              <w:rPr>
                <w:sz w:val="22"/>
                <w:szCs w:val="22"/>
                <w:highlight w:val="yellow"/>
              </w:rPr>
            </w:pPr>
            <w:r>
              <w:rPr>
                <w:sz w:val="22"/>
                <w:szCs w:val="22"/>
                <w:highlight w:val="yellow"/>
              </w:rPr>
              <w:t xml:space="preserve">_________________________ </w:t>
            </w:r>
          </w:p>
          <w:p w14:paraId="0B0D12FD" w14:textId="77777777" w:rsidR="00B63F33" w:rsidRDefault="00B63F33">
            <w:pPr>
              <w:ind w:left="158"/>
              <w:rPr>
                <w:sz w:val="22"/>
                <w:szCs w:val="22"/>
                <w:highlight w:val="yellow"/>
              </w:rPr>
            </w:pPr>
            <w:r>
              <w:rPr>
                <w:sz w:val="22"/>
                <w:szCs w:val="22"/>
                <w:highlight w:val="yellow"/>
              </w:rPr>
              <w:t xml:space="preserve">_________________________ </w:t>
            </w:r>
          </w:p>
          <w:p w14:paraId="0F9E2DE8" w14:textId="77777777" w:rsidR="00B63F33" w:rsidRDefault="00B63F33">
            <w:pPr>
              <w:ind w:left="158"/>
              <w:rPr>
                <w:sz w:val="22"/>
                <w:szCs w:val="22"/>
                <w:highlight w:val="yellow"/>
              </w:rPr>
            </w:pPr>
            <w:r>
              <w:rPr>
                <w:sz w:val="22"/>
                <w:szCs w:val="22"/>
                <w:highlight w:val="yellow"/>
              </w:rPr>
              <w:t xml:space="preserve">_________________________ </w:t>
            </w:r>
          </w:p>
          <w:p w14:paraId="4253E763" w14:textId="77777777" w:rsidR="00B63F33" w:rsidRDefault="00B63F33">
            <w:pPr>
              <w:ind w:left="261"/>
              <w:rPr>
                <w:sz w:val="22"/>
                <w:szCs w:val="22"/>
              </w:rPr>
            </w:pPr>
            <w:r>
              <w:rPr>
                <w:sz w:val="22"/>
                <w:szCs w:val="22"/>
              </w:rPr>
              <w:t xml:space="preserve">Phone: </w:t>
            </w:r>
            <w:r>
              <w:rPr>
                <w:sz w:val="22"/>
                <w:szCs w:val="22"/>
                <w:highlight w:val="yellow"/>
              </w:rPr>
              <w:t>_________</w:t>
            </w:r>
          </w:p>
          <w:p w14:paraId="27E08D18" w14:textId="77777777" w:rsidR="00B63F33" w:rsidRDefault="00B63F33">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6C919A2C" w14:textId="77777777" w:rsidR="00B63F33" w:rsidRDefault="00B63F33">
            <w:pPr>
              <w:rPr>
                <w:sz w:val="22"/>
                <w:szCs w:val="22"/>
              </w:rPr>
            </w:pPr>
          </w:p>
          <w:p w14:paraId="28D47CA0" w14:textId="77777777" w:rsidR="00B63F33" w:rsidRDefault="00B63F33">
            <w:pPr>
              <w:rPr>
                <w:sz w:val="22"/>
                <w:szCs w:val="22"/>
              </w:rPr>
            </w:pPr>
          </w:p>
          <w:p w14:paraId="7ABDDCAA" w14:textId="77777777" w:rsidR="00B63F33" w:rsidRDefault="00B63F33">
            <w:pPr>
              <w:rPr>
                <w:b/>
                <w:sz w:val="22"/>
                <w:szCs w:val="22"/>
              </w:rPr>
            </w:pPr>
          </w:p>
          <w:p w14:paraId="60C75E17" w14:textId="77777777" w:rsidR="00B63F33" w:rsidRDefault="00B63F33">
            <w:pPr>
              <w:rPr>
                <w:b/>
                <w:sz w:val="22"/>
                <w:szCs w:val="22"/>
              </w:rPr>
            </w:pPr>
            <w:r>
              <w:rPr>
                <w:b/>
                <w:sz w:val="22"/>
                <w:szCs w:val="22"/>
              </w:rPr>
              <w:t>Alternate:</w:t>
            </w:r>
          </w:p>
          <w:p w14:paraId="5B718DC4" w14:textId="77777777" w:rsidR="00B63F33" w:rsidRDefault="00B63F33">
            <w:pPr>
              <w:ind w:left="158"/>
              <w:rPr>
                <w:sz w:val="22"/>
                <w:szCs w:val="22"/>
                <w:highlight w:val="yellow"/>
              </w:rPr>
            </w:pPr>
            <w:r>
              <w:rPr>
                <w:sz w:val="22"/>
                <w:szCs w:val="22"/>
                <w:highlight w:val="yellow"/>
              </w:rPr>
              <w:t xml:space="preserve">_________________________ </w:t>
            </w:r>
          </w:p>
          <w:p w14:paraId="2E588A3F" w14:textId="77777777" w:rsidR="00B63F33" w:rsidRDefault="00B63F33">
            <w:pPr>
              <w:ind w:left="158"/>
              <w:rPr>
                <w:sz w:val="22"/>
                <w:szCs w:val="22"/>
                <w:highlight w:val="yellow"/>
              </w:rPr>
            </w:pPr>
            <w:r>
              <w:rPr>
                <w:sz w:val="22"/>
                <w:szCs w:val="22"/>
                <w:highlight w:val="yellow"/>
              </w:rPr>
              <w:t xml:space="preserve">_________________________ </w:t>
            </w:r>
          </w:p>
          <w:p w14:paraId="15BC57E6" w14:textId="77777777" w:rsidR="00B63F33" w:rsidRDefault="00B63F33">
            <w:pPr>
              <w:ind w:left="158"/>
              <w:rPr>
                <w:sz w:val="22"/>
                <w:szCs w:val="22"/>
                <w:highlight w:val="yellow"/>
              </w:rPr>
            </w:pPr>
            <w:r>
              <w:rPr>
                <w:sz w:val="22"/>
                <w:szCs w:val="22"/>
                <w:highlight w:val="yellow"/>
              </w:rPr>
              <w:t xml:space="preserve">_________________________ </w:t>
            </w:r>
          </w:p>
          <w:p w14:paraId="7584D131" w14:textId="77777777" w:rsidR="00B63F33" w:rsidRDefault="00B63F33">
            <w:pPr>
              <w:ind w:left="261"/>
              <w:rPr>
                <w:sz w:val="22"/>
                <w:szCs w:val="22"/>
              </w:rPr>
            </w:pPr>
            <w:r>
              <w:rPr>
                <w:sz w:val="22"/>
                <w:szCs w:val="22"/>
              </w:rPr>
              <w:t xml:space="preserve">Phone: </w:t>
            </w:r>
            <w:r>
              <w:rPr>
                <w:sz w:val="22"/>
                <w:szCs w:val="22"/>
                <w:highlight w:val="yellow"/>
              </w:rPr>
              <w:t>_________</w:t>
            </w:r>
          </w:p>
          <w:p w14:paraId="035A3F50" w14:textId="77777777" w:rsidR="00B63F33" w:rsidRDefault="00B63F33">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14:paraId="383B92F1" w14:textId="77777777" w:rsidR="00B63F33" w:rsidRDefault="00B63F33">
            <w:pPr>
              <w:rPr>
                <w:sz w:val="22"/>
                <w:szCs w:val="22"/>
              </w:rPr>
            </w:pPr>
          </w:p>
        </w:tc>
      </w:tr>
      <w:tr w:rsidR="00B63F33" w14:paraId="1CC129A7" w14:textId="77777777" w:rsidTr="00691098">
        <w:trPr>
          <w:jc w:val="center"/>
        </w:trPr>
        <w:tc>
          <w:tcPr>
            <w:tcW w:w="4428" w:type="dxa"/>
          </w:tcPr>
          <w:p w14:paraId="4C4AF71A" w14:textId="77777777" w:rsidR="00B63F33" w:rsidRDefault="00B63F33">
            <w:pPr>
              <w:spacing w:before="60"/>
              <w:rPr>
                <w:b/>
                <w:sz w:val="22"/>
                <w:szCs w:val="22"/>
              </w:rPr>
            </w:pPr>
            <w:r>
              <w:rPr>
                <w:b/>
                <w:sz w:val="22"/>
                <w:szCs w:val="22"/>
              </w:rPr>
              <w:t>Real-Time Contact Information</w:t>
            </w:r>
          </w:p>
          <w:p w14:paraId="72F66BAC" w14:textId="00C26DEC" w:rsidR="00B63F33" w:rsidRDefault="00B63F33">
            <w:pPr>
              <w:spacing w:before="120"/>
              <w:rPr>
                <w:sz w:val="22"/>
                <w:szCs w:val="22"/>
              </w:rPr>
            </w:pPr>
            <w:r>
              <w:rPr>
                <w:sz w:val="22"/>
                <w:szCs w:val="22"/>
              </w:rPr>
              <w:t xml:space="preserve"> </w:t>
            </w:r>
            <w:r>
              <w:rPr>
                <w:sz w:val="22"/>
                <w:szCs w:val="22"/>
                <w:u w:val="single"/>
              </w:rPr>
              <w:t>EMCC</w:t>
            </w:r>
            <w:r>
              <w:rPr>
                <w:sz w:val="22"/>
                <w:szCs w:val="22"/>
              </w:rPr>
              <w:t xml:space="preserve"> (</w:t>
            </w:r>
            <w:r w:rsidR="003721AE">
              <w:rPr>
                <w:sz w:val="22"/>
                <w:szCs w:val="22"/>
              </w:rPr>
              <w:t>24-hour</w:t>
            </w:r>
            <w:r>
              <w:rPr>
                <w:sz w:val="22"/>
                <w:szCs w:val="22"/>
              </w:rPr>
              <w:t xml:space="preserve"> coverage):</w:t>
            </w:r>
          </w:p>
          <w:p w14:paraId="728D8D68" w14:textId="64D0AD98" w:rsidR="00B63F33" w:rsidRDefault="00B63F33">
            <w:pPr>
              <w:ind w:left="261"/>
              <w:rPr>
                <w:sz w:val="22"/>
                <w:szCs w:val="22"/>
              </w:rPr>
            </w:pPr>
            <w:r>
              <w:rPr>
                <w:sz w:val="22"/>
                <w:szCs w:val="22"/>
              </w:rPr>
              <w:t xml:space="preserve">Phone: </w:t>
            </w:r>
            <w:r w:rsidR="00465298">
              <w:rPr>
                <w:sz w:val="22"/>
                <w:szCs w:val="22"/>
              </w:rPr>
              <w:t>303-571-</w:t>
            </w:r>
            <w:r w:rsidR="00EA6F37">
              <w:rPr>
                <w:sz w:val="22"/>
                <w:szCs w:val="22"/>
              </w:rPr>
              <w:t>7426</w:t>
            </w:r>
          </w:p>
          <w:p w14:paraId="3B76CC96" w14:textId="26DE22BD" w:rsidR="00B63F33" w:rsidRDefault="00B63F33">
            <w:pPr>
              <w:ind w:left="261"/>
              <w:rPr>
                <w:sz w:val="22"/>
                <w:szCs w:val="22"/>
              </w:rPr>
            </w:pPr>
            <w:r>
              <w:rPr>
                <w:sz w:val="22"/>
                <w:szCs w:val="22"/>
              </w:rPr>
              <w:t xml:space="preserve">E-mail: </w:t>
            </w:r>
            <w:hyperlink r:id="rId45" w:history="1">
              <w:r w:rsidR="00465298" w:rsidRPr="00BC1778">
                <w:rPr>
                  <w:rStyle w:val="Hyperlink"/>
                  <w:rFonts w:cs="Arial"/>
                </w:rPr>
                <w:t>dlrtelectricmarketersnsp@xcelenergy.com</w:t>
              </w:r>
            </w:hyperlink>
          </w:p>
          <w:p w14:paraId="57936F6E" w14:textId="77777777" w:rsidR="00B63F33" w:rsidRDefault="00B63F33">
            <w:pPr>
              <w:rPr>
                <w:sz w:val="22"/>
                <w:szCs w:val="22"/>
              </w:rPr>
            </w:pPr>
          </w:p>
          <w:p w14:paraId="4E26C01A" w14:textId="77777777" w:rsidR="00B63F33" w:rsidRDefault="00B63F33">
            <w:pPr>
              <w:rPr>
                <w:sz w:val="22"/>
                <w:szCs w:val="22"/>
              </w:rPr>
            </w:pPr>
            <w:r>
              <w:rPr>
                <w:sz w:val="22"/>
                <w:szCs w:val="22"/>
              </w:rPr>
              <w:t xml:space="preserve"> </w:t>
            </w:r>
            <w:r>
              <w:rPr>
                <w:sz w:val="22"/>
                <w:szCs w:val="22"/>
                <w:u w:val="single"/>
              </w:rPr>
              <w:t>Transmission Ops</w:t>
            </w:r>
            <w:r>
              <w:rPr>
                <w:sz w:val="22"/>
                <w:szCs w:val="22"/>
              </w:rPr>
              <w:t>:</w:t>
            </w:r>
          </w:p>
          <w:p w14:paraId="3FA489ED" w14:textId="77891462" w:rsidR="00B63F33" w:rsidRDefault="00B63F33">
            <w:pPr>
              <w:ind w:left="261"/>
              <w:rPr>
                <w:sz w:val="22"/>
                <w:szCs w:val="22"/>
              </w:rPr>
            </w:pPr>
            <w:r>
              <w:rPr>
                <w:sz w:val="22"/>
                <w:szCs w:val="22"/>
              </w:rPr>
              <w:t xml:space="preserve">Phone: </w:t>
            </w:r>
            <w:r w:rsidR="00C65CDB">
              <w:rPr>
                <w:sz w:val="22"/>
                <w:szCs w:val="22"/>
              </w:rPr>
              <w:t>303-273-4811</w:t>
            </w:r>
          </w:p>
          <w:p w14:paraId="264C12D4" w14:textId="77777777" w:rsidR="00B63F33" w:rsidRDefault="00B63F33">
            <w:pPr>
              <w:ind w:left="261"/>
              <w:rPr>
                <w:sz w:val="22"/>
                <w:szCs w:val="22"/>
              </w:rPr>
            </w:pPr>
            <w:r>
              <w:rPr>
                <w:sz w:val="22"/>
                <w:szCs w:val="22"/>
              </w:rPr>
              <w:lastRenderedPageBreak/>
              <w:t xml:space="preserve">E-mail: </w:t>
            </w:r>
            <w:hyperlink r:id="rId46" w:history="1">
              <w:r>
                <w:rPr>
                  <w:rStyle w:val="Hyperlink"/>
                  <w:color w:val="auto"/>
                  <w:sz w:val="22"/>
                  <w:szCs w:val="22"/>
                  <w:u w:val="none"/>
                </w:rPr>
                <w:t>AGCOpr@xcelenergy.com</w:t>
              </w:r>
            </w:hyperlink>
          </w:p>
          <w:p w14:paraId="4F7B1EAA" w14:textId="77777777" w:rsidR="00B63F33" w:rsidRDefault="00B63F33">
            <w:pPr>
              <w:ind w:left="261"/>
              <w:rPr>
                <w:sz w:val="22"/>
                <w:szCs w:val="22"/>
              </w:rPr>
            </w:pPr>
          </w:p>
          <w:p w14:paraId="41543CD2" w14:textId="77777777" w:rsidR="00B63F33" w:rsidRDefault="00B63F33">
            <w:pPr>
              <w:rPr>
                <w:sz w:val="22"/>
                <w:szCs w:val="22"/>
              </w:rPr>
            </w:pPr>
          </w:p>
        </w:tc>
        <w:tc>
          <w:tcPr>
            <w:tcW w:w="4590" w:type="dxa"/>
          </w:tcPr>
          <w:p w14:paraId="57AE0EB1" w14:textId="77777777" w:rsidR="00B63F33" w:rsidRDefault="00B63F33">
            <w:pPr>
              <w:spacing w:before="60"/>
              <w:rPr>
                <w:b/>
                <w:sz w:val="22"/>
                <w:szCs w:val="22"/>
              </w:rPr>
            </w:pPr>
            <w:r>
              <w:rPr>
                <w:b/>
                <w:sz w:val="22"/>
                <w:szCs w:val="22"/>
              </w:rPr>
              <w:lastRenderedPageBreak/>
              <w:t>Real-Time Contact Information</w:t>
            </w:r>
          </w:p>
          <w:p w14:paraId="4B76844D" w14:textId="77777777" w:rsidR="00B63F33" w:rsidRDefault="00B63F33">
            <w:pPr>
              <w:spacing w:before="120"/>
              <w:rPr>
                <w:sz w:val="22"/>
                <w:szCs w:val="22"/>
              </w:rPr>
            </w:pPr>
            <w:r>
              <w:rPr>
                <w:sz w:val="22"/>
                <w:szCs w:val="22"/>
                <w:u w:val="single"/>
              </w:rPr>
              <w:t>[Operations Command Center</w:t>
            </w:r>
            <w:r>
              <w:rPr>
                <w:sz w:val="22"/>
                <w:szCs w:val="22"/>
              </w:rPr>
              <w:t xml:space="preserve">] </w:t>
            </w:r>
          </w:p>
          <w:p w14:paraId="1CBE5C4F" w14:textId="112C6E15" w:rsidR="00B63F33" w:rsidRDefault="00B63F33">
            <w:pPr>
              <w:rPr>
                <w:sz w:val="22"/>
                <w:szCs w:val="22"/>
              </w:rPr>
            </w:pPr>
            <w:r>
              <w:rPr>
                <w:sz w:val="22"/>
                <w:szCs w:val="22"/>
              </w:rPr>
              <w:t xml:space="preserve">          (</w:t>
            </w:r>
            <w:r w:rsidR="003721AE">
              <w:rPr>
                <w:sz w:val="22"/>
                <w:szCs w:val="22"/>
              </w:rPr>
              <w:t>24-hour</w:t>
            </w:r>
            <w:r>
              <w:rPr>
                <w:sz w:val="22"/>
                <w:szCs w:val="22"/>
              </w:rPr>
              <w:t xml:space="preserve"> coverage):</w:t>
            </w:r>
          </w:p>
          <w:p w14:paraId="4DE81079" w14:textId="77777777" w:rsidR="00B63F33" w:rsidRDefault="00B63F33">
            <w:pPr>
              <w:ind w:left="261"/>
              <w:rPr>
                <w:sz w:val="22"/>
                <w:szCs w:val="22"/>
              </w:rPr>
            </w:pPr>
            <w:r>
              <w:rPr>
                <w:sz w:val="22"/>
                <w:szCs w:val="22"/>
              </w:rPr>
              <w:t xml:space="preserve">Phone: </w:t>
            </w:r>
            <w:r>
              <w:rPr>
                <w:sz w:val="22"/>
                <w:szCs w:val="22"/>
                <w:highlight w:val="yellow"/>
              </w:rPr>
              <w:t>_________</w:t>
            </w:r>
          </w:p>
          <w:p w14:paraId="5ACCE0A0" w14:textId="77777777" w:rsidR="00B63F33" w:rsidRDefault="00B63F33">
            <w:pPr>
              <w:ind w:left="261"/>
              <w:rPr>
                <w:sz w:val="22"/>
                <w:szCs w:val="22"/>
              </w:rPr>
            </w:pPr>
            <w:r>
              <w:rPr>
                <w:sz w:val="22"/>
                <w:szCs w:val="22"/>
              </w:rPr>
              <w:t xml:space="preserve">E-mail: </w:t>
            </w:r>
            <w:r>
              <w:rPr>
                <w:sz w:val="22"/>
                <w:szCs w:val="22"/>
                <w:highlight w:val="yellow"/>
              </w:rPr>
              <w:t>_________</w:t>
            </w:r>
          </w:p>
          <w:p w14:paraId="00D23ED5" w14:textId="77777777" w:rsidR="00B63F33" w:rsidRDefault="00B63F33">
            <w:pPr>
              <w:spacing w:before="60"/>
              <w:ind w:left="153"/>
              <w:rPr>
                <w:b/>
                <w:sz w:val="22"/>
                <w:szCs w:val="22"/>
              </w:rPr>
            </w:pPr>
          </w:p>
        </w:tc>
      </w:tr>
    </w:tbl>
    <w:p w14:paraId="3967AEF5" w14:textId="77777777" w:rsidR="00B63F33" w:rsidRDefault="00B63F33"/>
    <w:p w14:paraId="59AFB053" w14:textId="77777777" w:rsidR="00B63F33" w:rsidRDefault="00B63F33">
      <w:pPr>
        <w:pStyle w:val="TitleArial12"/>
        <w:spacing w:after="240"/>
        <w:rPr>
          <w:sz w:val="22"/>
        </w:rPr>
        <w:sectPr w:rsidR="00B63F33">
          <w:headerReference w:type="even" r:id="rId47"/>
          <w:headerReference w:type="default" r:id="rId48"/>
          <w:footerReference w:type="even" r:id="rId49"/>
          <w:footerReference w:type="default" r:id="rId50"/>
          <w:headerReference w:type="first" r:id="rId51"/>
          <w:footerReference w:type="first" r:id="rId52"/>
          <w:pgSz w:w="12240" w:h="15840"/>
          <w:pgMar w:top="1440" w:right="1800" w:bottom="1440" w:left="1800" w:header="720" w:footer="720" w:gutter="0"/>
          <w:pgNumType w:start="1" w:chapStyle="1"/>
          <w:cols w:space="720"/>
          <w:titlePg/>
          <w:docGrid w:linePitch="360"/>
        </w:sectPr>
      </w:pPr>
    </w:p>
    <w:p w14:paraId="28274843" w14:textId="7FBB8C33" w:rsidR="00B63F33" w:rsidRDefault="004666F5" w:rsidP="005357FF">
      <w:pPr>
        <w:pStyle w:val="ExhibitTitle"/>
      </w:pPr>
      <w:bookmarkStart w:id="751" w:name="_Toc149813155"/>
      <w:bookmarkStart w:id="752" w:name="_Ref149814140"/>
      <w:bookmarkStart w:id="753" w:name="_Ref149814152"/>
      <w:bookmarkStart w:id="754" w:name="_Toc150954972"/>
      <w:r>
        <w:lastRenderedPageBreak/>
        <w:t xml:space="preserve">EXHIBIT </w:t>
      </w:r>
      <w:fldSimple w:instr=" SEQ EXHIBIT \* ALPHABETIC ">
        <w:r w:rsidR="00BC3574">
          <w:rPr>
            <w:noProof/>
          </w:rPr>
          <w:t>E</w:t>
        </w:r>
      </w:fldSimple>
      <w:r>
        <w:t xml:space="preserve"> - </w:t>
      </w:r>
      <w:r w:rsidR="00B63F33">
        <w:t>INSURANCE COVERAGE</w:t>
      </w:r>
      <w:bookmarkEnd w:id="751"/>
      <w:bookmarkEnd w:id="752"/>
      <w:bookmarkEnd w:id="753"/>
      <w:bookmarkEnd w:id="754"/>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4"/>
        <w:gridCol w:w="5145"/>
      </w:tblGrid>
      <w:tr w:rsidR="00B63F33" w14:paraId="01348D47" w14:textId="77777777" w:rsidTr="00691098">
        <w:tc>
          <w:tcPr>
            <w:tcW w:w="3978" w:type="dxa"/>
            <w:tcBorders>
              <w:bottom w:val="double" w:sz="4" w:space="0" w:color="auto"/>
            </w:tcBorders>
          </w:tcPr>
          <w:p w14:paraId="060BEDD6" w14:textId="77777777" w:rsidR="00B63F33" w:rsidRDefault="00B63F33">
            <w:pPr>
              <w:widowControl w:val="0"/>
              <w:spacing w:before="40" w:after="40"/>
              <w:rPr>
                <w:b/>
                <w:bCs/>
              </w:rPr>
            </w:pPr>
            <w:r>
              <w:rPr>
                <w:b/>
                <w:bCs/>
              </w:rPr>
              <w:t>Type of Insurance</w:t>
            </w:r>
          </w:p>
        </w:tc>
        <w:tc>
          <w:tcPr>
            <w:tcW w:w="5382" w:type="dxa"/>
            <w:tcBorders>
              <w:bottom w:val="double" w:sz="4" w:space="0" w:color="auto"/>
            </w:tcBorders>
          </w:tcPr>
          <w:p w14:paraId="12AFE6C3" w14:textId="77777777" w:rsidR="00B63F33" w:rsidRDefault="00B63F33">
            <w:pPr>
              <w:widowControl w:val="0"/>
              <w:spacing w:before="40" w:after="40"/>
              <w:rPr>
                <w:b/>
                <w:bCs/>
              </w:rPr>
            </w:pPr>
            <w:r>
              <w:rPr>
                <w:b/>
                <w:bCs/>
              </w:rPr>
              <w:t>Minimum Limits of Coverage</w:t>
            </w:r>
          </w:p>
        </w:tc>
      </w:tr>
      <w:tr w:rsidR="00B63F33" w14:paraId="3AF135F2" w14:textId="77777777" w:rsidTr="00691098">
        <w:trPr>
          <w:trHeight w:val="188"/>
        </w:trPr>
        <w:tc>
          <w:tcPr>
            <w:tcW w:w="3978" w:type="dxa"/>
            <w:tcBorders>
              <w:top w:val="double" w:sz="4" w:space="0" w:color="auto"/>
              <w:left w:val="nil"/>
              <w:bottom w:val="single" w:sz="4" w:space="0" w:color="auto"/>
              <w:right w:val="nil"/>
            </w:tcBorders>
          </w:tcPr>
          <w:p w14:paraId="581C8661" w14:textId="77777777" w:rsidR="00B63F33" w:rsidRDefault="00B63F33">
            <w:pPr>
              <w:widowControl w:val="0"/>
              <w:spacing w:before="40"/>
            </w:pPr>
          </w:p>
        </w:tc>
        <w:tc>
          <w:tcPr>
            <w:tcW w:w="5382" w:type="dxa"/>
            <w:tcBorders>
              <w:top w:val="double" w:sz="4" w:space="0" w:color="auto"/>
              <w:left w:val="nil"/>
              <w:bottom w:val="single" w:sz="4" w:space="0" w:color="auto"/>
              <w:right w:val="nil"/>
            </w:tcBorders>
          </w:tcPr>
          <w:p w14:paraId="595C09CF" w14:textId="77777777" w:rsidR="00B63F33" w:rsidRDefault="00B63F33">
            <w:pPr>
              <w:widowControl w:val="0"/>
              <w:spacing w:before="40"/>
              <w:jc w:val="both"/>
            </w:pPr>
          </w:p>
        </w:tc>
      </w:tr>
      <w:tr w:rsidR="00B63F33" w14:paraId="2187A042" w14:textId="77777777" w:rsidTr="00691098">
        <w:tc>
          <w:tcPr>
            <w:tcW w:w="3978" w:type="dxa"/>
            <w:tcBorders>
              <w:top w:val="single" w:sz="4" w:space="0" w:color="auto"/>
            </w:tcBorders>
          </w:tcPr>
          <w:p w14:paraId="52AF6665" w14:textId="77777777" w:rsidR="00B63F33" w:rsidRDefault="00B63F33">
            <w:pPr>
              <w:widowControl w:val="0"/>
              <w:spacing w:before="40"/>
            </w:pPr>
            <w:r>
              <w:t>Commercial General Liability (CGL) and commercial umbrella</w:t>
            </w:r>
          </w:p>
        </w:tc>
        <w:tc>
          <w:tcPr>
            <w:tcW w:w="5382" w:type="dxa"/>
            <w:tcBorders>
              <w:top w:val="single" w:sz="4" w:space="0" w:color="auto"/>
            </w:tcBorders>
          </w:tcPr>
          <w:p w14:paraId="2DF81698" w14:textId="77777777" w:rsidR="00B63F33" w:rsidRDefault="00B63F33">
            <w:pPr>
              <w:widowControl w:val="0"/>
              <w:spacing w:before="40"/>
              <w:jc w:val="both"/>
            </w:pPr>
            <w:r>
              <w:t>$11,000,000 combined single limit each occurrence and the aggregate, where applicable.  If CGL insurance contains a general aggregate limit, it shall apply separately to the Facility.</w:t>
            </w:r>
          </w:p>
        </w:tc>
      </w:tr>
    </w:tbl>
    <w:p w14:paraId="6B1BD20D" w14:textId="77777777" w:rsidR="00B63F33" w:rsidRDefault="00B63F33">
      <w:pPr>
        <w:pStyle w:val="BodyText11"/>
        <w:spacing w:before="60"/>
        <w:ind w:left="90"/>
      </w:pPr>
      <w:r>
        <w:t>CGL insurance shall be written on ISO occurrence form CG 00 01 01 96 (or a substitute form providing equivalent coverage) and shall cover liability arising from premises, operations, independent contractors, products/completed operations, contracts, property damage, personal injury and advertising injury, and liability assumed under an insured contract (including the tort liability of another assumed in a business contract), all with limits as specified above.  CGL insurance shall include ISO endorsement CG 24 17 (or an equivalent endorsement) which modifies the definition of “Insured contract” to eliminate the exclusion of easement or license agreements in connection with construction or demolition operations on or within 50 feet of a railroad.  There shall be no endorsement or modification of the CGL insurance limiting the scope of coverage for liability arising from explosion, collapse, or underground property damage.</w:t>
      </w:r>
    </w:p>
    <w:p w14:paraId="255620E7" w14:textId="77777777" w:rsidR="00B63F33" w:rsidRDefault="00B63F33">
      <w:pPr>
        <w:pStyle w:val="BodyText11"/>
        <w:spacing w:after="80"/>
        <w:ind w:left="90"/>
      </w:pPr>
      <w:r>
        <w:t>Company shall be included as an insured under the CGL policy, using ISO additional insured endorsement CG 20 10 (or a substitute providing equivalent coverage), and under the commercial umbrella insurance.  The commercial umbrella insurance shall provide coverage over the top of the CGL insurance, the Business Automobile Liability insurance, and the Employers Liability insurance.  The CGL and commercial umbrella insurance to be obtained by or on behalf of Seller shall be endorsed as follows:</w:t>
      </w:r>
    </w:p>
    <w:p w14:paraId="74391236" w14:textId="77777777" w:rsidR="00B63F33" w:rsidRDefault="00B63F33">
      <w:pPr>
        <w:pStyle w:val="DoubleIndent11"/>
        <w:spacing w:after="360"/>
        <w:rPr>
          <w:rFonts w:ascii="Times New Roman" w:hAnsi="Times New Roman"/>
          <w:sz w:val="24"/>
        </w:rPr>
      </w:pPr>
      <w:r>
        <w:rPr>
          <w:rFonts w:ascii="Times New Roman" w:hAnsi="Times New Roman"/>
          <w:sz w:val="24"/>
        </w:rPr>
        <w:t>Such insurance as afforded by this policy for the benefit of Company shall be primary as respects any claims, losses, damages, expenses, or liabilities arising out of this PPA, and insured hereunder, and any insurance carried by Company shall be excess of and noncontributing with insurance afforded by this policy.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1"/>
        <w:gridCol w:w="5148"/>
      </w:tblGrid>
      <w:tr w:rsidR="00B63F33" w14:paraId="6EB11362" w14:textId="77777777" w:rsidTr="00691098">
        <w:tc>
          <w:tcPr>
            <w:tcW w:w="3978" w:type="dxa"/>
          </w:tcPr>
          <w:p w14:paraId="4C7C88B8" w14:textId="77777777" w:rsidR="00B63F33" w:rsidRDefault="00B63F33">
            <w:pPr>
              <w:widowControl w:val="0"/>
              <w:spacing w:before="40" w:after="40"/>
            </w:pPr>
            <w:r>
              <w:t>Business Automobile Liability</w:t>
            </w:r>
          </w:p>
        </w:tc>
        <w:tc>
          <w:tcPr>
            <w:tcW w:w="5382" w:type="dxa"/>
          </w:tcPr>
          <w:p w14:paraId="6095D249" w14:textId="77777777" w:rsidR="00B63F33" w:rsidRDefault="00B63F33">
            <w:pPr>
              <w:widowControl w:val="0"/>
              <w:spacing w:before="40" w:after="40"/>
              <w:jc w:val="both"/>
            </w:pPr>
            <w:r>
              <w:t xml:space="preserve">$2,000,000 combined single limit (each accident), including all Owned, </w:t>
            </w:r>
            <w:proofErr w:type="gramStart"/>
            <w:r>
              <w:t>Non</w:t>
            </w:r>
            <w:proofErr w:type="gramEnd"/>
            <w:r>
              <w:noBreakHyphen/>
              <w:t>Owned, Hired and Leased Autos.</w:t>
            </w:r>
          </w:p>
        </w:tc>
      </w:tr>
    </w:tbl>
    <w:p w14:paraId="1A4180C7" w14:textId="77777777" w:rsidR="00B63F33" w:rsidRDefault="00B63F33">
      <w:pPr>
        <w:pStyle w:val="BodyText11"/>
        <w:spacing w:before="40" w:after="360"/>
        <w:ind w:left="90"/>
      </w:pPr>
      <w:r>
        <w:t>Business Automobile Liability insurance shall be written on ISO form CA  00 01, CA 00 05, CA 00 12, CA 00 20, or a substitute form providing equivalent liability coverage.  If necessary, the policy shall be endorsed to provide contractual liability coverage equivalent to that provided in the 1990 and later editions of CA 00 01.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9"/>
        <w:gridCol w:w="5140"/>
      </w:tblGrid>
      <w:tr w:rsidR="00B63F33" w14:paraId="2FB26BE7" w14:textId="77777777" w:rsidTr="00691098">
        <w:tc>
          <w:tcPr>
            <w:tcW w:w="3978" w:type="dxa"/>
          </w:tcPr>
          <w:p w14:paraId="5DF6149A" w14:textId="77777777" w:rsidR="00B63F33" w:rsidRDefault="00B63F33">
            <w:pPr>
              <w:widowControl w:val="0"/>
              <w:spacing w:before="40" w:after="40"/>
            </w:pPr>
            <w:r>
              <w:t>Workers Compensation</w:t>
            </w:r>
          </w:p>
        </w:tc>
        <w:tc>
          <w:tcPr>
            <w:tcW w:w="5382" w:type="dxa"/>
          </w:tcPr>
          <w:p w14:paraId="44814EA2" w14:textId="77777777" w:rsidR="00B63F33" w:rsidRDefault="00B63F33">
            <w:pPr>
              <w:widowControl w:val="0"/>
              <w:spacing w:before="40" w:after="40"/>
              <w:jc w:val="both"/>
            </w:pPr>
            <w:r>
              <w:t xml:space="preserve">Statutory Requirements.  Seller may </w:t>
            </w:r>
            <w:proofErr w:type="gramStart"/>
            <w:r>
              <w:t>comply with</w:t>
            </w:r>
            <w:proofErr w:type="gramEnd"/>
            <w:r>
              <w:t xml:space="preserve"> these requirements through the use of a qualified self-insurance plan.</w:t>
            </w:r>
          </w:p>
        </w:tc>
      </w:tr>
    </w:tbl>
    <w:p w14:paraId="6AE24898" w14:textId="77777777" w:rsidR="00B63F33" w:rsidRDefault="00B63F33">
      <w:pPr>
        <w:widowControl w:val="0"/>
        <w:jc w:val="center"/>
        <w:rPr>
          <w:sz w:val="18"/>
          <w:szCs w:val="18"/>
        </w:rPr>
      </w:pPr>
      <w:r>
        <w:br w:type="page"/>
      </w:r>
      <w:r>
        <w:rPr>
          <w:sz w:val="18"/>
          <w:szCs w:val="18"/>
        </w:rPr>
        <w:lastRenderedPageBreak/>
        <w:t>[Exhibit E  -  continued]</w:t>
      </w:r>
    </w:p>
    <w:p w14:paraId="0607DA98" w14:textId="77777777" w:rsidR="00B63F33" w:rsidRDefault="00B63F33">
      <w:pPr>
        <w:widowControl w:val="0"/>
        <w:jc w:val="center"/>
        <w:rPr>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5147"/>
      </w:tblGrid>
      <w:tr w:rsidR="00B63F33" w14:paraId="66CC9A3B" w14:textId="77777777" w:rsidTr="00691098">
        <w:tc>
          <w:tcPr>
            <w:tcW w:w="3913" w:type="dxa"/>
            <w:tcBorders>
              <w:bottom w:val="double" w:sz="4" w:space="0" w:color="auto"/>
            </w:tcBorders>
          </w:tcPr>
          <w:p w14:paraId="7659B7EE" w14:textId="77777777" w:rsidR="00B63F33" w:rsidRDefault="00B63F33">
            <w:pPr>
              <w:widowControl w:val="0"/>
              <w:spacing w:before="40" w:after="40"/>
              <w:rPr>
                <w:b/>
                <w:bCs/>
              </w:rPr>
            </w:pPr>
            <w:r>
              <w:rPr>
                <w:b/>
                <w:bCs/>
              </w:rPr>
              <w:t>Type of Insurance</w:t>
            </w:r>
          </w:p>
        </w:tc>
        <w:tc>
          <w:tcPr>
            <w:tcW w:w="5285" w:type="dxa"/>
            <w:tcBorders>
              <w:bottom w:val="double" w:sz="4" w:space="0" w:color="auto"/>
            </w:tcBorders>
          </w:tcPr>
          <w:p w14:paraId="6AF226EF" w14:textId="77777777" w:rsidR="00B63F33" w:rsidRDefault="00B63F33">
            <w:pPr>
              <w:widowControl w:val="0"/>
              <w:spacing w:before="40" w:after="40"/>
              <w:rPr>
                <w:b/>
                <w:bCs/>
              </w:rPr>
            </w:pPr>
            <w:r>
              <w:rPr>
                <w:b/>
                <w:bCs/>
              </w:rPr>
              <w:t>Minimum Limits of Coverage</w:t>
            </w:r>
          </w:p>
        </w:tc>
      </w:tr>
      <w:tr w:rsidR="00B63F33" w14:paraId="36612BA7" w14:textId="77777777" w:rsidTr="00691098">
        <w:trPr>
          <w:trHeight w:val="206"/>
        </w:trPr>
        <w:tc>
          <w:tcPr>
            <w:tcW w:w="3913" w:type="dxa"/>
            <w:tcBorders>
              <w:top w:val="double" w:sz="4" w:space="0" w:color="auto"/>
              <w:left w:val="nil"/>
              <w:bottom w:val="single" w:sz="4" w:space="0" w:color="auto"/>
              <w:right w:val="nil"/>
            </w:tcBorders>
          </w:tcPr>
          <w:p w14:paraId="5245A991" w14:textId="77777777" w:rsidR="00B63F33" w:rsidRDefault="00B63F33">
            <w:pPr>
              <w:widowControl w:val="0"/>
              <w:spacing w:before="40" w:after="40"/>
              <w:rPr>
                <w:sz w:val="12"/>
                <w:szCs w:val="12"/>
              </w:rPr>
            </w:pPr>
          </w:p>
        </w:tc>
        <w:tc>
          <w:tcPr>
            <w:tcW w:w="5285" w:type="dxa"/>
            <w:tcBorders>
              <w:top w:val="double" w:sz="4" w:space="0" w:color="auto"/>
              <w:left w:val="nil"/>
              <w:bottom w:val="single" w:sz="4" w:space="0" w:color="auto"/>
              <w:right w:val="nil"/>
            </w:tcBorders>
          </w:tcPr>
          <w:p w14:paraId="5586FB3D" w14:textId="77777777" w:rsidR="00B63F33" w:rsidRDefault="00B63F33">
            <w:pPr>
              <w:widowControl w:val="0"/>
              <w:spacing w:before="40" w:after="40"/>
              <w:rPr>
                <w:b/>
                <w:bCs/>
                <w:sz w:val="12"/>
                <w:szCs w:val="12"/>
              </w:rPr>
            </w:pPr>
          </w:p>
        </w:tc>
      </w:tr>
      <w:tr w:rsidR="00B63F33" w14:paraId="2CDD78F4" w14:textId="77777777" w:rsidTr="00691098">
        <w:tc>
          <w:tcPr>
            <w:tcW w:w="3913" w:type="dxa"/>
            <w:tcBorders>
              <w:top w:val="single" w:sz="4" w:space="0" w:color="auto"/>
            </w:tcBorders>
          </w:tcPr>
          <w:p w14:paraId="48D46D00" w14:textId="77777777" w:rsidR="00B63F33" w:rsidRDefault="00B63F33">
            <w:pPr>
              <w:widowControl w:val="0"/>
              <w:spacing w:before="40" w:after="40"/>
            </w:pPr>
            <w:r>
              <w:t>Employers Liability</w:t>
            </w:r>
          </w:p>
        </w:tc>
        <w:tc>
          <w:tcPr>
            <w:tcW w:w="5285" w:type="dxa"/>
            <w:tcBorders>
              <w:top w:val="single" w:sz="4" w:space="0" w:color="auto"/>
            </w:tcBorders>
          </w:tcPr>
          <w:p w14:paraId="18666FD8" w14:textId="77777777" w:rsidR="00B63F33" w:rsidRDefault="00B63F33">
            <w:pPr>
              <w:widowControl w:val="0"/>
              <w:spacing w:before="40" w:after="40"/>
              <w:jc w:val="both"/>
            </w:pPr>
            <w:r>
              <w:t>$2,000,000 each accident for bodily injury by accident, or $2,000,000 each employee for bodily injury by disease.</w:t>
            </w:r>
          </w:p>
        </w:tc>
      </w:tr>
    </w:tbl>
    <w:p w14:paraId="4775E70E" w14:textId="77777777" w:rsidR="00B63F33" w:rsidRDefault="00B63F33">
      <w:pPr>
        <w:widowControl w:val="0"/>
        <w:tabs>
          <w:tab w:val="left" w:pos="-1440"/>
        </w:tabs>
      </w:pPr>
    </w:p>
    <w:p w14:paraId="112DE9B1" w14:textId="77777777" w:rsidR="00B63F33" w:rsidRDefault="00B63F33">
      <w:pPr>
        <w:widowControl w:val="0"/>
        <w:tabs>
          <w:tab w:val="left" w:pos="-1440"/>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09"/>
        <w:gridCol w:w="5160"/>
      </w:tblGrid>
      <w:tr w:rsidR="00B63F33" w14:paraId="0D97E911" w14:textId="77777777" w:rsidTr="00691098">
        <w:tc>
          <w:tcPr>
            <w:tcW w:w="3978" w:type="dxa"/>
          </w:tcPr>
          <w:p w14:paraId="296AEA78" w14:textId="77777777" w:rsidR="00B63F33" w:rsidRDefault="00B63F33">
            <w:pPr>
              <w:widowControl w:val="0"/>
              <w:spacing w:before="40" w:after="40"/>
            </w:pPr>
            <w:r>
              <w:t>Builder’s Risk</w:t>
            </w:r>
          </w:p>
        </w:tc>
        <w:tc>
          <w:tcPr>
            <w:tcW w:w="5382" w:type="dxa"/>
          </w:tcPr>
          <w:p w14:paraId="05B1B5CB" w14:textId="77777777" w:rsidR="00B63F33" w:rsidRDefault="00B63F33">
            <w:pPr>
              <w:widowControl w:val="0"/>
              <w:spacing w:before="40" w:after="40"/>
            </w:pPr>
            <w:r>
              <w:t>Replacement value of the Facility.</w:t>
            </w:r>
          </w:p>
        </w:tc>
      </w:tr>
    </w:tbl>
    <w:p w14:paraId="17D4ED1F" w14:textId="77777777" w:rsidR="00B63F33" w:rsidRDefault="00B63F33">
      <w:pPr>
        <w:pStyle w:val="BodyText11"/>
        <w:spacing w:before="60" w:after="440"/>
        <w:ind w:left="90"/>
      </w:pPr>
      <w:r>
        <w:t>Builder’s Risk insurance, or an installation floater, shall include coverage for earthquake and flood, collapse, faulty workmanship, materials and design, testing of machinery or equipment, freezing or changes in temperature, debris removal, and partial occupancy.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6"/>
        <w:gridCol w:w="5133"/>
      </w:tblGrid>
      <w:tr w:rsidR="00B63F33" w14:paraId="5E4C91C6" w14:textId="77777777" w:rsidTr="00691098">
        <w:tc>
          <w:tcPr>
            <w:tcW w:w="3978" w:type="dxa"/>
          </w:tcPr>
          <w:p w14:paraId="5E997DB9" w14:textId="77777777" w:rsidR="00B63F33" w:rsidRDefault="00B63F33">
            <w:pPr>
              <w:widowControl w:val="0"/>
              <w:spacing w:before="40" w:after="40"/>
            </w:pPr>
            <w:r>
              <w:t>Environmental Impairment Liability</w:t>
            </w:r>
          </w:p>
        </w:tc>
        <w:tc>
          <w:tcPr>
            <w:tcW w:w="5382" w:type="dxa"/>
          </w:tcPr>
          <w:p w14:paraId="41791CA4" w14:textId="77777777" w:rsidR="00B63F33" w:rsidRDefault="00B63F33">
            <w:pPr>
              <w:widowControl w:val="0"/>
              <w:spacing w:before="40" w:after="40"/>
            </w:pPr>
            <w:r>
              <w:t>$5,000,000 each occurrence.</w:t>
            </w:r>
          </w:p>
        </w:tc>
      </w:tr>
    </w:tbl>
    <w:p w14:paraId="3A813CBC" w14:textId="77777777" w:rsidR="00B63F33" w:rsidRDefault="00B63F33">
      <w:pPr>
        <w:widowControl w:val="0"/>
      </w:pPr>
    </w:p>
    <w:p w14:paraId="0B03D00B" w14:textId="77777777" w:rsidR="00B63F33" w:rsidRDefault="00B63F33">
      <w:pPr>
        <w:widowControl w:val="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14"/>
        <w:gridCol w:w="5155"/>
      </w:tblGrid>
      <w:tr w:rsidR="00B63F33" w14:paraId="03EBE89C" w14:textId="77777777" w:rsidTr="00691098">
        <w:tc>
          <w:tcPr>
            <w:tcW w:w="3978" w:type="dxa"/>
          </w:tcPr>
          <w:p w14:paraId="2C50DE02" w14:textId="77777777" w:rsidR="00B63F33" w:rsidRDefault="00B63F33">
            <w:pPr>
              <w:widowControl w:val="0"/>
              <w:spacing w:before="40" w:after="40"/>
            </w:pPr>
            <w:r>
              <w:t>All-Risk Property insurance covering physical loss or damage to the Facility</w:t>
            </w:r>
          </w:p>
        </w:tc>
        <w:tc>
          <w:tcPr>
            <w:tcW w:w="5382" w:type="dxa"/>
          </w:tcPr>
          <w:p w14:paraId="3561CC6B" w14:textId="77777777" w:rsidR="00B63F33" w:rsidRDefault="00B63F33">
            <w:pPr>
              <w:widowControl w:val="0"/>
              <w:spacing w:before="40" w:after="40"/>
              <w:jc w:val="both"/>
            </w:pPr>
            <w:r>
              <w:t>Full replacement value of the Facility.  A deductible may be carried which deductible shall be the absolute responsibility of Seller.</w:t>
            </w:r>
          </w:p>
        </w:tc>
      </w:tr>
    </w:tbl>
    <w:p w14:paraId="0C4763F2" w14:textId="77777777" w:rsidR="00B63F33" w:rsidRDefault="00B63F33">
      <w:pPr>
        <w:pStyle w:val="BodyText11"/>
        <w:spacing w:before="60" w:after="420"/>
        <w:ind w:left="90"/>
      </w:pPr>
      <w:r>
        <w:t xml:space="preserve">All-Risk Property insurance shall include:  (i) coverage for fire, flood, wind and storm, tornado and earthquake with respect to facilities similar in construction, location and occupancy to the Facility, with </w:t>
      </w:r>
      <w:proofErr w:type="spellStart"/>
      <w:r>
        <w:t>sublimits</w:t>
      </w:r>
      <w:proofErr w:type="spellEnd"/>
      <w:r>
        <w:t xml:space="preserve"> of no less than $10,000,000 each for flood and earthquake; and (ii) Boiler and Machinery insurance covering all objects customarily subject to such insurance, including boilers and turbines, in an amount equal to their full replacement value.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6"/>
        <w:gridCol w:w="5251"/>
      </w:tblGrid>
      <w:tr w:rsidR="00B63F33" w14:paraId="65E24D6E" w14:textId="77777777" w:rsidTr="00691098">
        <w:tc>
          <w:tcPr>
            <w:tcW w:w="3978" w:type="dxa"/>
          </w:tcPr>
          <w:p w14:paraId="29D1E207" w14:textId="77777777" w:rsidR="00B63F33" w:rsidRDefault="00B63F33">
            <w:pPr>
              <w:widowControl w:val="0"/>
              <w:spacing w:before="40" w:after="40"/>
            </w:pPr>
            <w:r>
              <w:t>Business Interruption insurance</w:t>
            </w:r>
          </w:p>
        </w:tc>
        <w:tc>
          <w:tcPr>
            <w:tcW w:w="5490" w:type="dxa"/>
          </w:tcPr>
          <w:p w14:paraId="73D8F956" w14:textId="77777777" w:rsidR="00B63F33" w:rsidRDefault="00B63F33">
            <w:pPr>
              <w:widowControl w:val="0"/>
              <w:spacing w:before="40" w:after="40"/>
              <w:jc w:val="both"/>
            </w:pPr>
            <w:r>
              <w:t>Amount required to cover Seller’s continuing or increased expenses, resulting from full interruption, for a period of 12 calendar months.</w:t>
            </w:r>
          </w:p>
        </w:tc>
      </w:tr>
    </w:tbl>
    <w:p w14:paraId="35C15219" w14:textId="77777777" w:rsidR="00B63F33" w:rsidRDefault="00B63F33">
      <w:pPr>
        <w:pStyle w:val="BodyText11"/>
        <w:spacing w:before="60"/>
      </w:pPr>
      <w:r>
        <w:t>Business Interruption insurance shall cover loss of revenues or the increased expense to resume operations attributable to the Facility by reason of total or partial suspension or delay of, or interruption in, the operation of the Facility as a result of an insured peril covered under Property insurance as set forth above, to the extent available on Commercially Reasonable terms as determined by Company, subject to a Commercially Reasonable deductible that shall be the responsibility of Seller.  Notwithstanding any other provision of this PPA, Seller shall not be required to have Business Interruption insurance until the Commercial Operation Date.</w:t>
      </w:r>
    </w:p>
    <w:p w14:paraId="54775A74" w14:textId="77777777" w:rsidR="00B63F33" w:rsidRDefault="00B63F33">
      <w:pPr>
        <w:tabs>
          <w:tab w:val="center" w:pos="4680"/>
          <w:tab w:val="right" w:pos="9360"/>
        </w:tabs>
        <w:spacing w:before="140"/>
        <w:jc w:val="center"/>
        <w:outlineLvl w:val="0"/>
        <w:sectPr w:rsidR="00B63F33">
          <w:headerReference w:type="even" r:id="rId53"/>
          <w:headerReference w:type="default" r:id="rId54"/>
          <w:footerReference w:type="even" r:id="rId55"/>
          <w:footerReference w:type="default" r:id="rId56"/>
          <w:headerReference w:type="first" r:id="rId57"/>
          <w:footerReference w:type="first" r:id="rId58"/>
          <w:pgSz w:w="12240" w:h="15840"/>
          <w:pgMar w:top="1440" w:right="1526" w:bottom="1440" w:left="1627" w:header="720" w:footer="720" w:gutter="0"/>
          <w:pgNumType w:start="1" w:chapStyle="1"/>
          <w:cols w:space="720"/>
          <w:titlePg/>
          <w:docGrid w:linePitch="360"/>
        </w:sectPr>
      </w:pPr>
    </w:p>
    <w:p w14:paraId="0898B688" w14:textId="5FD558EF" w:rsidR="00B63F33" w:rsidRDefault="004666F5" w:rsidP="005357FF">
      <w:pPr>
        <w:pStyle w:val="ExhibitTitle"/>
      </w:pPr>
      <w:bookmarkStart w:id="755" w:name="_Toc433954238"/>
      <w:bookmarkStart w:id="756" w:name="_Toc149813156"/>
      <w:bookmarkStart w:id="757" w:name="_Ref149813689"/>
      <w:bookmarkStart w:id="758" w:name="_Ref149814111"/>
      <w:bookmarkStart w:id="759" w:name="_Toc150954973"/>
      <w:r>
        <w:lastRenderedPageBreak/>
        <w:t xml:space="preserve">EXHIBIT </w:t>
      </w:r>
      <w:fldSimple w:instr=" SEQ EXHIBIT \* ALPHABETIC ">
        <w:r w:rsidR="00BC3574">
          <w:rPr>
            <w:noProof/>
          </w:rPr>
          <w:t>F</w:t>
        </w:r>
      </w:fldSimple>
      <w:r>
        <w:t xml:space="preserve"> - </w:t>
      </w:r>
      <w:r w:rsidR="00B63F33">
        <w:t>SELLER’S NEEDED PERMITS</w:t>
      </w:r>
      <w:bookmarkEnd w:id="755"/>
      <w:bookmarkEnd w:id="756"/>
      <w:bookmarkEnd w:id="757"/>
      <w:bookmarkEnd w:id="758"/>
      <w:bookmarkEnd w:id="759"/>
      <w:r w:rsidR="00B63F33">
        <w:fldChar w:fldCharType="begin"/>
      </w:r>
      <w:r w:rsidR="00B63F33">
        <w:instrText xml:space="preserve"> TC \l "1"</w:instrText>
      </w:r>
      <w:r w:rsidR="00B63F33">
        <w:fldChar w:fldCharType="end"/>
      </w:r>
    </w:p>
    <w:p w14:paraId="659F234C" w14:textId="77777777" w:rsidR="00B63F33" w:rsidRDefault="00B63F33">
      <w:pPr>
        <w:jc w:val="center"/>
        <w:rPr>
          <w:b/>
        </w:rPr>
      </w:pPr>
    </w:p>
    <w:p w14:paraId="251A0BAB" w14:textId="77777777" w:rsidR="00B63F33" w:rsidRDefault="00B63F33">
      <w:pPr>
        <w:jc w:val="center"/>
        <w:rPr>
          <w:b/>
        </w:rPr>
      </w:pPr>
    </w:p>
    <w:p w14:paraId="733E6D58" w14:textId="77777777" w:rsidR="00B63F33" w:rsidRDefault="00B63F33">
      <w:r w:rsidRPr="00F3269C">
        <w:rPr>
          <w:highlight w:val="yellow"/>
        </w:rPr>
        <w:t>Bid Specific</w:t>
      </w:r>
    </w:p>
    <w:p w14:paraId="3CF5BB16" w14:textId="77777777" w:rsidR="00B63F33" w:rsidRDefault="00B63F33"/>
    <w:p w14:paraId="3A17070C" w14:textId="77777777" w:rsidR="00B63F33" w:rsidRDefault="00B63F33">
      <w:pPr>
        <w:sectPr w:rsidR="00B63F33">
          <w:headerReference w:type="even" r:id="rId59"/>
          <w:headerReference w:type="default" r:id="rId60"/>
          <w:footerReference w:type="even" r:id="rId61"/>
          <w:footerReference w:type="default" r:id="rId62"/>
          <w:headerReference w:type="first" r:id="rId63"/>
          <w:footerReference w:type="first" r:id="rId64"/>
          <w:pgSz w:w="12240" w:h="15840"/>
          <w:pgMar w:top="1440" w:right="1800" w:bottom="1440" w:left="1800" w:header="720" w:footer="720" w:gutter="0"/>
          <w:pgNumType w:start="1" w:chapStyle="1"/>
          <w:cols w:space="720"/>
          <w:titlePg/>
          <w:docGrid w:linePitch="360"/>
        </w:sectPr>
      </w:pPr>
    </w:p>
    <w:p w14:paraId="6DA40D3A" w14:textId="65FDAE13" w:rsidR="00B63F33" w:rsidRDefault="004666F5" w:rsidP="005357FF">
      <w:pPr>
        <w:pStyle w:val="ExhibitTitle"/>
      </w:pPr>
      <w:bookmarkStart w:id="760" w:name="_Toc149813157"/>
      <w:bookmarkStart w:id="761" w:name="_Ref149813949"/>
      <w:bookmarkStart w:id="762" w:name="_Ref149813971"/>
      <w:bookmarkStart w:id="763" w:name="_Toc150954974"/>
      <w:r>
        <w:lastRenderedPageBreak/>
        <w:t xml:space="preserve">EXHIBIT </w:t>
      </w:r>
      <w:fldSimple w:instr=" SEQ EXHIBIT \* ALPHABETIC ">
        <w:r w:rsidR="00BC3574">
          <w:rPr>
            <w:noProof/>
          </w:rPr>
          <w:t>G</w:t>
        </w:r>
      </w:fldSimple>
      <w:r>
        <w:t xml:space="preserve"> - </w:t>
      </w:r>
      <w:r w:rsidR="00B63F33">
        <w:t>FORM OF LETTER OF CREDIT</w:t>
      </w:r>
      <w:bookmarkEnd w:id="760"/>
      <w:bookmarkEnd w:id="761"/>
      <w:bookmarkEnd w:id="762"/>
      <w:bookmarkEnd w:id="763"/>
      <w:r w:rsidR="00B63F33">
        <w:fldChar w:fldCharType="begin"/>
      </w:r>
      <w:r w:rsidR="00B63F33">
        <w:instrText xml:space="preserve"> TC \l "1"</w:instrText>
      </w:r>
      <w:r w:rsidR="00B63F33">
        <w:fldChar w:fldCharType="end"/>
      </w:r>
    </w:p>
    <w:p w14:paraId="499C6673" w14:textId="77777777" w:rsidR="00B63F33" w:rsidRDefault="00B63F33">
      <w:pPr>
        <w:pStyle w:val="TitleArial12"/>
      </w:pPr>
    </w:p>
    <w:p w14:paraId="101337B3" w14:textId="77777777" w:rsidR="00B63F33" w:rsidRDefault="00B63F33">
      <w:pPr>
        <w:keepNext/>
        <w:spacing w:after="240"/>
        <w:jc w:val="center"/>
        <w:rPr>
          <w:rFonts w:cs="Arial"/>
          <w:bCs/>
        </w:rPr>
      </w:pPr>
      <w:r>
        <w:rPr>
          <w:rFonts w:cs="Arial"/>
          <w:bCs/>
        </w:rPr>
        <w:t>[LETTERHEAD OF ISSUING BANK]</w:t>
      </w:r>
    </w:p>
    <w:tbl>
      <w:tblPr>
        <w:tblW w:w="0" w:type="auto"/>
        <w:tblLook w:val="01E0" w:firstRow="1" w:lastRow="1" w:firstColumn="1" w:lastColumn="1" w:noHBand="0" w:noVBand="0"/>
      </w:tblPr>
      <w:tblGrid>
        <w:gridCol w:w="4428"/>
        <w:gridCol w:w="4428"/>
      </w:tblGrid>
      <w:tr w:rsidR="00B63F33" w14:paraId="4FDFA288" w14:textId="77777777" w:rsidTr="00691098">
        <w:tc>
          <w:tcPr>
            <w:tcW w:w="4428" w:type="dxa"/>
          </w:tcPr>
          <w:p w14:paraId="4C4C9369" w14:textId="77777777" w:rsidR="00B63F33" w:rsidRDefault="00B63F33">
            <w:pPr>
              <w:rPr>
                <w:rFonts w:cs="Arial"/>
              </w:rPr>
            </w:pPr>
            <w:r>
              <w:rPr>
                <w:rFonts w:cs="Arial"/>
              </w:rPr>
              <w:t>Irrevocable Standby Letter of Credit  No: _______</w:t>
            </w:r>
          </w:p>
          <w:p w14:paraId="30C004A1" w14:textId="77777777" w:rsidR="00B63F33" w:rsidRDefault="00B63F33">
            <w:pPr>
              <w:rPr>
                <w:rFonts w:cs="Arial"/>
              </w:rPr>
            </w:pPr>
          </w:p>
          <w:p w14:paraId="517E5407" w14:textId="23CBFAD3" w:rsidR="00B63F33" w:rsidRDefault="00B63F33">
            <w:pPr>
              <w:rPr>
                <w:rFonts w:cs="Arial"/>
              </w:rPr>
            </w:pPr>
            <w:r>
              <w:rPr>
                <w:rFonts w:cs="Arial"/>
              </w:rPr>
              <w:t xml:space="preserve">Beneficiary:  </w:t>
            </w:r>
            <w:r w:rsidR="00F3269C">
              <w:rPr>
                <w:rFonts w:cs="Arial"/>
              </w:rPr>
              <w:t>Northern States Power Company</w:t>
            </w:r>
          </w:p>
        </w:tc>
        <w:tc>
          <w:tcPr>
            <w:tcW w:w="4428" w:type="dxa"/>
          </w:tcPr>
          <w:p w14:paraId="766A6B94" w14:textId="77777777" w:rsidR="00B63F33" w:rsidRDefault="00B63F33">
            <w:pPr>
              <w:rPr>
                <w:rFonts w:cs="Arial"/>
              </w:rPr>
            </w:pPr>
            <w:r>
              <w:rPr>
                <w:rFonts w:cs="Arial"/>
              </w:rPr>
              <w:t>Date of Issuance: _________________</w:t>
            </w:r>
          </w:p>
          <w:p w14:paraId="6BAE0134" w14:textId="77777777" w:rsidR="00B63F33" w:rsidRDefault="00B63F33">
            <w:pPr>
              <w:rPr>
                <w:rFonts w:cs="Arial"/>
              </w:rPr>
            </w:pPr>
          </w:p>
          <w:p w14:paraId="0D710C39" w14:textId="77777777" w:rsidR="00B63F33" w:rsidRDefault="00B63F33">
            <w:pPr>
              <w:rPr>
                <w:rFonts w:cs="Arial"/>
              </w:rPr>
            </w:pPr>
            <w:r>
              <w:rPr>
                <w:rFonts w:cs="Arial"/>
              </w:rPr>
              <w:t>Initial Expiration Date: [</w:t>
            </w:r>
            <w:r>
              <w:rPr>
                <w:rFonts w:cs="Arial"/>
                <w:u w:val="single"/>
              </w:rPr>
              <w:t>Must be at least one year after date of issuance</w:t>
            </w:r>
            <w:r>
              <w:rPr>
                <w:rFonts w:cs="Arial"/>
              </w:rPr>
              <w:t>]</w:t>
            </w:r>
          </w:p>
          <w:p w14:paraId="44EEA293" w14:textId="77777777" w:rsidR="00B63F33" w:rsidRDefault="00B63F33">
            <w:pPr>
              <w:rPr>
                <w:rFonts w:cs="Arial"/>
              </w:rPr>
            </w:pPr>
          </w:p>
          <w:p w14:paraId="11DFC044" w14:textId="77777777" w:rsidR="00B63F33" w:rsidRDefault="00B63F33">
            <w:pPr>
              <w:rPr>
                <w:rFonts w:cs="Arial"/>
              </w:rPr>
            </w:pPr>
            <w:r>
              <w:rPr>
                <w:rFonts w:cs="Arial"/>
              </w:rPr>
              <w:t>Applicant:</w:t>
            </w:r>
          </w:p>
        </w:tc>
      </w:tr>
    </w:tbl>
    <w:p w14:paraId="516B0D3A" w14:textId="77777777" w:rsidR="00B63F33" w:rsidRDefault="00B63F33">
      <w:pPr>
        <w:rPr>
          <w:rFonts w:cs="Arial"/>
        </w:rPr>
      </w:pPr>
    </w:p>
    <w:p w14:paraId="12E75166" w14:textId="77777777" w:rsidR="00B63F33" w:rsidRDefault="00B63F33">
      <w:pPr>
        <w:spacing w:after="180"/>
        <w:jc w:val="both"/>
        <w:rPr>
          <w:rFonts w:cs="Arial"/>
        </w:rPr>
      </w:pPr>
      <w:r>
        <w:rPr>
          <w:rFonts w:cs="Arial"/>
        </w:rPr>
        <w:t>As the Issuing Bank (“Issuer”), we, [Name of Issuing Bank], hereby establish this irrevocable Standby Letter of Credit No. _____ (this "Letter of Credit") in favor of the above-named beneficiary (“Beneficiary”) for the account of the above-named applicant (“Applicant”) in the amount of US$__________ (_________________ Million U.S. Dollars).</w:t>
      </w:r>
    </w:p>
    <w:p w14:paraId="4F2A7C0A" w14:textId="77777777" w:rsidR="00B63F33" w:rsidRDefault="00B63F33">
      <w:pPr>
        <w:spacing w:after="180"/>
        <w:jc w:val="both"/>
        <w:rPr>
          <w:rFonts w:cs="Arial"/>
        </w:rPr>
      </w:pPr>
      <w:r>
        <w:rPr>
          <w:rFonts w:cs="Arial"/>
        </w:rPr>
        <w:t xml:space="preserve">Beneficiary may draw all or any portion of this Letter of Credit at any time and from time to time, and Issuer will make funds immediately available to Beneficiary upon presentation of Beneficiary’s draft(s) at sight in substantially the form attached hereto as Exhibit “A” (“Sight Draft”), drawn on Issuer and accompanied by this Letter of Credit.  All Sight Drafts must be signed on behalf of Beneficiary, and the </w:t>
      </w:r>
      <w:proofErr w:type="spellStart"/>
      <w:r>
        <w:rPr>
          <w:rFonts w:cs="Arial"/>
        </w:rPr>
        <w:t>signator</w:t>
      </w:r>
      <w:proofErr w:type="spellEnd"/>
      <w:r>
        <w:rPr>
          <w:rFonts w:cs="Arial"/>
        </w:rPr>
        <w:t xml:space="preserve"> must indicate his or her title or other official capacity.  No other documents will be required to be presented.  Issuer will </w:t>
      </w:r>
      <w:proofErr w:type="spellStart"/>
      <w:proofErr w:type="gramStart"/>
      <w:r>
        <w:rPr>
          <w:rFonts w:cs="Arial"/>
        </w:rPr>
        <w:t>effect</w:t>
      </w:r>
      <w:proofErr w:type="spellEnd"/>
      <w:proofErr w:type="gramEnd"/>
      <w:r>
        <w:rPr>
          <w:rFonts w:cs="Arial"/>
        </w:rPr>
        <w:t xml:space="preserve"> payment under this Letter of Credit within twenty-four (24) hours after presentment of any Sight Draft.  Payment shall be made in U.S. Dollars with Issuer’s own funds in immediately available funds.</w:t>
      </w:r>
    </w:p>
    <w:p w14:paraId="2BE55823" w14:textId="77777777" w:rsidR="00B63F33" w:rsidRDefault="00B63F33">
      <w:pPr>
        <w:spacing w:after="180"/>
        <w:jc w:val="both"/>
        <w:rPr>
          <w:rFonts w:cs="Arial"/>
        </w:rPr>
      </w:pPr>
      <w:r>
        <w:rPr>
          <w:rFonts w:cs="Arial"/>
        </w:rPr>
        <w:t>Issuer will honor any Sight Draft presented in substantial compliance with the terms of this Letter of Credit at the Issuer’s letterhead office, the office located at ______________________ or any other full service office of the Issuer on or before the above-stated expiration date, as such expiration date may be extended hereunder.  Partial and multiple draws and presentations are permitted on any number of occasions.  Following any partial draw, Issuer will endorse this Letter of Credit and return the original to Beneficiary.</w:t>
      </w:r>
    </w:p>
    <w:p w14:paraId="1872FBA7" w14:textId="77777777" w:rsidR="00B63F33" w:rsidRDefault="00B63F33">
      <w:pPr>
        <w:spacing w:after="180"/>
        <w:jc w:val="both"/>
        <w:rPr>
          <w:rFonts w:cs="Arial"/>
        </w:rPr>
      </w:pPr>
      <w:r>
        <w:rPr>
          <w:rFonts w:cs="Arial"/>
        </w:rPr>
        <w:t>This Letter of Credit is issued pursuant to the provisions of that certain [</w:t>
      </w:r>
      <w:r>
        <w:rPr>
          <w:rFonts w:cs="Arial"/>
          <w:highlight w:val="yellow"/>
        </w:rPr>
        <w:t>Wind</w:t>
      </w:r>
      <w:r>
        <w:rPr>
          <w:rFonts w:cs="Arial"/>
        </w:rPr>
        <w:t>] [</w:t>
      </w:r>
      <w:r>
        <w:rPr>
          <w:rFonts w:cs="Arial"/>
          <w:highlight w:val="yellow"/>
        </w:rPr>
        <w:t>Solar</w:t>
      </w:r>
      <w:r>
        <w:rPr>
          <w:rFonts w:cs="Arial"/>
        </w:rPr>
        <w:t xml:space="preserve">] Energy Purchase Agreement between Beneficiary and Applicant dated as of _______________, 20__ (as the same may have been or may be amended from time to time, the “PPA”).  Notwithstanding any reference in this Letter of Credit to the PPA or any other documents, instruments or agreements, or references in the PPA or any other documents, instruments or agreements to this Letter of Credit, this Letter of Credit contains the entire agreement between Beneficiary and Issuer relating to the obligations of Issuer hereunder.  </w:t>
      </w:r>
    </w:p>
    <w:p w14:paraId="0E2CED58" w14:textId="77777777" w:rsidR="00B63F33" w:rsidRDefault="00B63F33">
      <w:pPr>
        <w:spacing w:after="180"/>
        <w:jc w:val="both"/>
        <w:rPr>
          <w:rFonts w:cs="Arial"/>
        </w:rPr>
      </w:pPr>
      <w:r>
        <w:rPr>
          <w:rFonts w:cs="Arial"/>
        </w:rPr>
        <w:t xml:space="preserve">This Letter of Credit will be automatically extended each year without amendment for a period of one (1) year from the expiration date hereof, as extended, unless at least thirty (30) days prior to the expiration date, Issuer notifies Beneficiary by registered or certified mail that it elects not to extend this Letter of Credit for such additional period.  Notice of </w:t>
      </w:r>
      <w:r>
        <w:rPr>
          <w:rFonts w:cs="Arial"/>
        </w:rPr>
        <w:lastRenderedPageBreak/>
        <w:t>non-extension will be given by Issuer to Beneficiary at Beneficiary’s address set forth herein or at such other address as Beneficiary may designate to Issuer in writing at Issuer’s letterhead address.</w:t>
      </w:r>
    </w:p>
    <w:p w14:paraId="6C99FADE" w14:textId="77777777" w:rsidR="00B63F33" w:rsidRDefault="00B63F33">
      <w:pPr>
        <w:spacing w:after="180"/>
        <w:jc w:val="both"/>
        <w:rPr>
          <w:rFonts w:cs="Arial"/>
        </w:rPr>
      </w:pPr>
      <w:r>
        <w:rPr>
          <w:rFonts w:cs="Arial"/>
        </w:rPr>
        <w:t xml:space="preserve">This Letter of Credit is freely transferable by Beneficiary in whole or in part, and the number of transfers is unlimited.  Issuer shall </w:t>
      </w:r>
      <w:proofErr w:type="gramStart"/>
      <w:r>
        <w:rPr>
          <w:rFonts w:cs="Arial"/>
        </w:rPr>
        <w:t>effect</w:t>
      </w:r>
      <w:proofErr w:type="gramEnd"/>
      <w:r>
        <w:rPr>
          <w:rFonts w:cs="Arial"/>
        </w:rPr>
        <w:t xml:space="preserve"> any transfers immediately upon presentation to Issuer of this Letter of Credit and a completed written transfer request substantially in the form attached hereto as Exhibit "B."  Such transfer will be </w:t>
      </w:r>
      <w:proofErr w:type="gramStart"/>
      <w:r>
        <w:rPr>
          <w:rFonts w:cs="Arial"/>
        </w:rPr>
        <w:t>effected</w:t>
      </w:r>
      <w:proofErr w:type="gramEnd"/>
      <w:r>
        <w:rPr>
          <w:rFonts w:cs="Arial"/>
        </w:rPr>
        <w:t xml:space="preserve"> at no cost to Beneficiary.  Any transfer fees assessed by Issuer will be payable solely by Applicant, and the payment of any transfer fees will not be a condition to the validity or effectiveness of the transfer of this Letter of Credit.</w:t>
      </w:r>
    </w:p>
    <w:p w14:paraId="6A3A15CD" w14:textId="77777777" w:rsidR="00B63F33" w:rsidRDefault="00B63F33">
      <w:pPr>
        <w:pStyle w:val="PlainText"/>
        <w:spacing w:after="180"/>
        <w:jc w:val="both"/>
        <w:rPr>
          <w:rFonts w:ascii="Arial" w:hAnsi="Arial" w:cs="Arial"/>
          <w:sz w:val="24"/>
          <w:szCs w:val="24"/>
        </w:rPr>
      </w:pPr>
      <w:r>
        <w:rPr>
          <w:rFonts w:ascii="Arial" w:hAnsi="Arial" w:cs="Arial"/>
          <w:sz w:val="24"/>
          <w:szCs w:val="24"/>
        </w:rPr>
        <w:t>Issuer waives any rights it may have, at law or otherwise, to subrogate to any claims which Beneficiary may have against Applicant or Applicant may have against Beneficiary.</w:t>
      </w:r>
    </w:p>
    <w:p w14:paraId="51633CC0" w14:textId="77777777" w:rsidR="00B63F33" w:rsidRDefault="00B63F33">
      <w:pPr>
        <w:spacing w:after="180"/>
        <w:jc w:val="both"/>
        <w:rPr>
          <w:rFonts w:cs="Arial"/>
        </w:rPr>
      </w:pPr>
      <w:r>
        <w:rPr>
          <w:rFonts w:cs="Arial"/>
        </w:rPr>
        <w:t>This Letter of Credit is subject to the uniform customs and practice for documentary credits (2007 Revision), International Chamber of Commerce publication No. 600 (the “UCP”), except to the extent that the terms hereof are inconsistent with the provisions of the UCP, including but not limited to Articles 14(b) and 36 of the UCP, in which case the terms of this Letter of Credit shall govern.  With respect to Article 14(b) of the UCP, Issuer shall have a reasonable amount of time, not to exceed three (3) banking days following the date of Issuer’s receipt of documents from Beneficiary (to the extent required herein), to examine the documents and determine whether to take up or refuse the documents and to inform Beneficiary accordingly.</w:t>
      </w:r>
    </w:p>
    <w:p w14:paraId="671E8570" w14:textId="77777777" w:rsidR="00B63F33" w:rsidRDefault="00B63F33">
      <w:pPr>
        <w:spacing w:after="180"/>
        <w:jc w:val="both"/>
        <w:rPr>
          <w:rFonts w:cs="Arial"/>
        </w:rPr>
      </w:pPr>
      <w:r>
        <w:rPr>
          <w:rFonts w:cs="Arial"/>
        </w:rPr>
        <w:t>In the event of an act of God, riot, civil commotion, insurrection, war or any other cause beyond Issuer’s control that interrupts Issuer’s business and causes the place for presentation of this Letter of Credit to be closed for business on the last day for presentation, the expiry date of this Letter of Credit will be automatically extended without amendment to a date thirty (30) calendar days after the place for presentation reopens for business.</w:t>
      </w:r>
    </w:p>
    <w:tbl>
      <w:tblPr>
        <w:tblW w:w="0" w:type="auto"/>
        <w:tblInd w:w="4428" w:type="dxa"/>
        <w:tblBorders>
          <w:insideV w:val="single" w:sz="4" w:space="0" w:color="auto"/>
        </w:tblBorders>
        <w:tblLook w:val="01E0" w:firstRow="1" w:lastRow="1" w:firstColumn="1" w:lastColumn="1" w:noHBand="0" w:noVBand="0"/>
      </w:tblPr>
      <w:tblGrid>
        <w:gridCol w:w="4428"/>
      </w:tblGrid>
      <w:tr w:rsidR="00B63F33" w14:paraId="17B335B7" w14:textId="77777777" w:rsidTr="00691098">
        <w:tc>
          <w:tcPr>
            <w:tcW w:w="4428" w:type="dxa"/>
          </w:tcPr>
          <w:p w14:paraId="18F204EA" w14:textId="77777777" w:rsidR="00B63F33" w:rsidRDefault="00B63F33">
            <w:pPr>
              <w:rPr>
                <w:rFonts w:cs="Arial"/>
              </w:rPr>
            </w:pPr>
            <w:r>
              <w:rPr>
                <w:rFonts w:cs="Arial"/>
              </w:rPr>
              <w:t>ISSUER:</w:t>
            </w:r>
          </w:p>
        </w:tc>
      </w:tr>
      <w:tr w:rsidR="00B63F33" w14:paraId="0DA02F48" w14:textId="77777777" w:rsidTr="00691098">
        <w:tc>
          <w:tcPr>
            <w:tcW w:w="4428" w:type="dxa"/>
          </w:tcPr>
          <w:p w14:paraId="51206381" w14:textId="77777777" w:rsidR="00B63F33" w:rsidRDefault="00B63F33">
            <w:pPr>
              <w:jc w:val="center"/>
              <w:rPr>
                <w:rFonts w:cs="Arial"/>
              </w:rPr>
            </w:pPr>
          </w:p>
          <w:p w14:paraId="62962447" w14:textId="77777777" w:rsidR="00B63F33" w:rsidRDefault="00B63F33">
            <w:pPr>
              <w:rPr>
                <w:rFonts w:cs="Arial"/>
              </w:rPr>
            </w:pPr>
            <w:r>
              <w:rPr>
                <w:rFonts w:cs="Arial"/>
              </w:rPr>
              <w:t>By: _____________________</w:t>
            </w:r>
          </w:p>
          <w:p w14:paraId="34FA9E85" w14:textId="77777777" w:rsidR="00B63F33" w:rsidRDefault="00B63F33">
            <w:pPr>
              <w:rPr>
                <w:rFonts w:cs="Arial"/>
              </w:rPr>
            </w:pPr>
            <w:r>
              <w:rPr>
                <w:rFonts w:cs="Arial"/>
              </w:rPr>
              <w:t xml:space="preserve">         Authorized Signature</w:t>
            </w:r>
          </w:p>
        </w:tc>
      </w:tr>
    </w:tbl>
    <w:p w14:paraId="5542A443" w14:textId="77777777" w:rsidR="00B63F33" w:rsidRDefault="00B63F33">
      <w:pPr>
        <w:pageBreakBefore/>
        <w:jc w:val="center"/>
        <w:rPr>
          <w:rFonts w:cs="Arial"/>
          <w:b/>
        </w:rPr>
      </w:pPr>
      <w:r>
        <w:rPr>
          <w:rFonts w:cs="Arial"/>
          <w:b/>
        </w:rPr>
        <w:lastRenderedPageBreak/>
        <w:t>EXHIBIT “A”</w:t>
      </w:r>
    </w:p>
    <w:p w14:paraId="78A486A3" w14:textId="77777777" w:rsidR="00B63F33" w:rsidRDefault="00B63F33">
      <w:pPr>
        <w:jc w:val="center"/>
        <w:rPr>
          <w:rFonts w:cs="Arial"/>
          <w:sz w:val="18"/>
          <w:szCs w:val="18"/>
        </w:rPr>
      </w:pPr>
      <w:r>
        <w:rPr>
          <w:rFonts w:cs="Arial"/>
          <w:sz w:val="18"/>
          <w:szCs w:val="18"/>
        </w:rPr>
        <w:t xml:space="preserve">TO LETTER OF CREDIT </w:t>
      </w:r>
    </w:p>
    <w:p w14:paraId="5ACE156C" w14:textId="77777777" w:rsidR="00B63F33" w:rsidRDefault="00B63F33">
      <w:pPr>
        <w:jc w:val="center"/>
        <w:rPr>
          <w:rFonts w:cs="Arial"/>
          <w:b/>
        </w:rPr>
      </w:pPr>
    </w:p>
    <w:p w14:paraId="2F18B3F7" w14:textId="77777777" w:rsidR="00B63F33" w:rsidRDefault="00B63F33">
      <w:pPr>
        <w:jc w:val="center"/>
        <w:rPr>
          <w:rFonts w:cs="Arial"/>
          <w:b/>
        </w:rPr>
      </w:pPr>
      <w:r>
        <w:rPr>
          <w:rFonts w:cs="Arial"/>
          <w:b/>
        </w:rPr>
        <w:t>SIGHT DRAFT</w:t>
      </w:r>
    </w:p>
    <w:p w14:paraId="61BCDB80" w14:textId="77777777" w:rsidR="00B63F33" w:rsidRDefault="00B63F33">
      <w:pPr>
        <w:jc w:val="center"/>
        <w:rPr>
          <w:rFonts w:cs="Arial"/>
          <w:b/>
        </w:rPr>
      </w:pPr>
    </w:p>
    <w:p w14:paraId="253DB65C" w14:textId="77777777" w:rsidR="00B63F33" w:rsidRDefault="00B63F33">
      <w:pPr>
        <w:jc w:val="center"/>
        <w:rPr>
          <w:rFonts w:cs="Arial"/>
        </w:rPr>
      </w:pPr>
    </w:p>
    <w:p w14:paraId="4B89C0BC" w14:textId="77777777" w:rsidR="00B63F33" w:rsidRDefault="00B63F33">
      <w:pPr>
        <w:rPr>
          <w:rFonts w:cs="Arial"/>
        </w:rPr>
      </w:pPr>
      <w:r>
        <w:rPr>
          <w:rFonts w:cs="Arial"/>
        </w:rPr>
        <w:t>Draft Number __________________</w:t>
      </w:r>
    </w:p>
    <w:p w14:paraId="7EB3D9EA" w14:textId="77777777" w:rsidR="00B63F33" w:rsidRDefault="00B63F33">
      <w:pPr>
        <w:rPr>
          <w:rFonts w:cs="Arial"/>
        </w:rPr>
      </w:pPr>
      <w:r>
        <w:rPr>
          <w:rFonts w:cs="Arial"/>
        </w:rPr>
        <w:t>$____________________________</w:t>
      </w:r>
    </w:p>
    <w:p w14:paraId="54BBDC3E" w14:textId="77777777" w:rsidR="00B63F33" w:rsidRDefault="00B63F33">
      <w:pPr>
        <w:rPr>
          <w:rFonts w:cs="Arial"/>
        </w:rPr>
      </w:pPr>
    </w:p>
    <w:p w14:paraId="45FD28A4" w14:textId="77777777" w:rsidR="00B63F33" w:rsidRDefault="00B63F33">
      <w:pPr>
        <w:rPr>
          <w:rFonts w:cs="Arial"/>
        </w:rPr>
      </w:pPr>
      <w:r>
        <w:rPr>
          <w:rFonts w:cs="Arial"/>
        </w:rPr>
        <w:tab/>
        <w:t>At sight, pay to the order of [Name of Beneficiary to be inserted], the amount of USD $____________ (__________________ and 00/100ths U.S. Dollars).</w:t>
      </w:r>
    </w:p>
    <w:p w14:paraId="1C0CE78F" w14:textId="77777777" w:rsidR="00B63F33" w:rsidRDefault="00B63F33">
      <w:pPr>
        <w:rPr>
          <w:rFonts w:cs="Arial"/>
        </w:rPr>
      </w:pPr>
    </w:p>
    <w:p w14:paraId="361C1378" w14:textId="46BBD5CD" w:rsidR="00B63F33" w:rsidRDefault="00B63F33">
      <w:pPr>
        <w:rPr>
          <w:rFonts w:cs="Arial"/>
        </w:rPr>
      </w:pPr>
      <w:r>
        <w:rPr>
          <w:rFonts w:cs="Arial"/>
        </w:rPr>
        <w:tab/>
        <w:t>Value received and charged to the account of: [Name of Issuer and address].  Drawn under [Name of Issuer to be inserted] Standby Letter of Credit No. ______________.</w:t>
      </w:r>
    </w:p>
    <w:p w14:paraId="6E23B71C" w14:textId="77777777" w:rsidR="00B63F33" w:rsidRDefault="00B63F33">
      <w:pPr>
        <w:rPr>
          <w:rFonts w:cs="Arial"/>
        </w:rPr>
      </w:pPr>
    </w:p>
    <w:p w14:paraId="6B34A92D" w14:textId="2BE336B1" w:rsidR="00B63F33" w:rsidRDefault="00B63F33">
      <w:pPr>
        <w:spacing w:after="360"/>
        <w:ind w:left="720"/>
        <w:rPr>
          <w:rFonts w:cs="Arial"/>
        </w:rPr>
      </w:pPr>
      <w:r>
        <w:rPr>
          <w:rFonts w:cs="Arial"/>
        </w:rPr>
        <w:t xml:space="preserve">Dated: _____________ </w:t>
      </w:r>
      <w:r>
        <w:rPr>
          <w:rFonts w:cs="Arial"/>
        </w:rPr>
        <w:tab/>
      </w:r>
      <w:r>
        <w:rPr>
          <w:rFonts w:cs="Arial"/>
        </w:rPr>
        <w:tab/>
      </w:r>
      <w:r w:rsidR="00F3269C">
        <w:rPr>
          <w:rFonts w:cs="Arial"/>
        </w:rPr>
        <w:t>Northern States Power Company</w:t>
      </w:r>
    </w:p>
    <w:p w14:paraId="5E4B14DD" w14:textId="77777777" w:rsidR="00B63F33" w:rsidRDefault="00B63F33">
      <w:pPr>
        <w:ind w:left="720"/>
        <w:rPr>
          <w:rFonts w:cs="Arial"/>
        </w:rPr>
      </w:pPr>
      <w:r>
        <w:rPr>
          <w:rFonts w:cs="Arial"/>
        </w:rPr>
        <w:tab/>
      </w:r>
      <w:r>
        <w:rPr>
          <w:rFonts w:cs="Arial"/>
        </w:rPr>
        <w:tab/>
      </w:r>
      <w:r>
        <w:rPr>
          <w:rFonts w:cs="Arial"/>
        </w:rPr>
        <w:tab/>
      </w:r>
      <w:r>
        <w:rPr>
          <w:rFonts w:cs="Arial"/>
        </w:rPr>
        <w:tab/>
      </w:r>
      <w:r>
        <w:rPr>
          <w:rFonts w:cs="Arial"/>
        </w:rPr>
        <w:tab/>
        <w:t xml:space="preserve">By:  ________________________ </w:t>
      </w:r>
    </w:p>
    <w:p w14:paraId="016C4352" w14:textId="77777777" w:rsidR="00B63F33" w:rsidRDefault="00B63F33">
      <w:pPr>
        <w:ind w:left="720"/>
        <w:rPr>
          <w:rFonts w:cs="Arial"/>
        </w:rPr>
      </w:pPr>
      <w:r>
        <w:rPr>
          <w:rFonts w:cs="Arial"/>
        </w:rPr>
        <w:tab/>
      </w:r>
      <w:r>
        <w:rPr>
          <w:rFonts w:cs="Arial"/>
        </w:rPr>
        <w:tab/>
      </w:r>
      <w:r>
        <w:rPr>
          <w:rFonts w:cs="Arial"/>
        </w:rPr>
        <w:tab/>
      </w:r>
      <w:r>
        <w:rPr>
          <w:rFonts w:cs="Arial"/>
        </w:rPr>
        <w:tab/>
      </w:r>
      <w:r>
        <w:rPr>
          <w:rFonts w:cs="Arial"/>
        </w:rPr>
        <w:tab/>
      </w:r>
      <w:r>
        <w:rPr>
          <w:rFonts w:cs="Arial"/>
        </w:rPr>
        <w:tab/>
        <w:t>[name and title]</w:t>
      </w:r>
    </w:p>
    <w:p w14:paraId="315F5CE2" w14:textId="77777777" w:rsidR="00B63F33" w:rsidRDefault="00B63F33">
      <w:pPr>
        <w:rPr>
          <w:rFonts w:cs="Arial"/>
        </w:rPr>
      </w:pPr>
    </w:p>
    <w:p w14:paraId="327B1781" w14:textId="77777777" w:rsidR="00B63F33" w:rsidRDefault="00B63F33">
      <w:pPr>
        <w:rPr>
          <w:rFonts w:cs="Arial"/>
        </w:rPr>
      </w:pPr>
    </w:p>
    <w:p w14:paraId="37418731" w14:textId="2F05E91F" w:rsidR="00B63F33" w:rsidRDefault="00B63F33">
      <w:pPr>
        <w:rPr>
          <w:rFonts w:cs="Arial"/>
        </w:rPr>
      </w:pPr>
      <w:r>
        <w:rPr>
          <w:rFonts w:cs="Arial"/>
        </w:rPr>
        <w:t xml:space="preserve"> Account:  </w:t>
      </w:r>
      <w:r>
        <w:rPr>
          <w:rFonts w:cs="Arial"/>
          <w:u w:val="single"/>
        </w:rPr>
        <w:t>[Applicant to be inserted]</w:t>
      </w:r>
    </w:p>
    <w:p w14:paraId="67EC4465" w14:textId="77777777" w:rsidR="00B63F33" w:rsidRDefault="00B63F33">
      <w:pPr>
        <w:rPr>
          <w:rFonts w:cs="Arial"/>
        </w:rPr>
      </w:pPr>
    </w:p>
    <w:p w14:paraId="6E08B3E6" w14:textId="77777777" w:rsidR="00B63F33" w:rsidRDefault="00B63F33">
      <w:pPr>
        <w:rPr>
          <w:rFonts w:cs="Arial"/>
        </w:rPr>
        <w:sectPr w:rsidR="00B63F33">
          <w:headerReference w:type="even" r:id="rId65"/>
          <w:headerReference w:type="default" r:id="rId66"/>
          <w:footerReference w:type="even" r:id="rId67"/>
          <w:footerReference w:type="default" r:id="rId68"/>
          <w:headerReference w:type="first" r:id="rId69"/>
          <w:footerReference w:type="first" r:id="rId70"/>
          <w:pgSz w:w="12240" w:h="15840"/>
          <w:pgMar w:top="1440" w:right="1530" w:bottom="1440" w:left="1530" w:header="720" w:footer="720" w:gutter="0"/>
          <w:pgNumType w:start="1"/>
          <w:cols w:space="720"/>
          <w:titlePg/>
          <w:docGrid w:linePitch="360"/>
        </w:sectPr>
      </w:pPr>
    </w:p>
    <w:p w14:paraId="5EEA7D42" w14:textId="77777777" w:rsidR="00B63F33" w:rsidRDefault="00B63F33">
      <w:pPr>
        <w:jc w:val="center"/>
        <w:rPr>
          <w:rFonts w:cs="Arial"/>
          <w:b/>
        </w:rPr>
      </w:pPr>
      <w:r>
        <w:rPr>
          <w:rFonts w:cs="Arial"/>
          <w:b/>
        </w:rPr>
        <w:lastRenderedPageBreak/>
        <w:t>EXHIBIT “B”</w:t>
      </w:r>
    </w:p>
    <w:p w14:paraId="64D42CCF" w14:textId="77777777" w:rsidR="00B63F33" w:rsidRDefault="00B63F33">
      <w:pPr>
        <w:jc w:val="center"/>
        <w:rPr>
          <w:rFonts w:cs="Arial"/>
          <w:sz w:val="18"/>
          <w:szCs w:val="18"/>
        </w:rPr>
      </w:pPr>
      <w:r>
        <w:rPr>
          <w:rFonts w:cs="Arial"/>
          <w:sz w:val="18"/>
          <w:szCs w:val="18"/>
        </w:rPr>
        <w:t xml:space="preserve">TO LETTER OF CREDIT </w:t>
      </w:r>
    </w:p>
    <w:p w14:paraId="3AC7E741" w14:textId="77777777" w:rsidR="00B63F33" w:rsidRDefault="00B63F33">
      <w:pPr>
        <w:jc w:val="center"/>
        <w:rPr>
          <w:rFonts w:cs="Arial"/>
          <w:b/>
        </w:rPr>
      </w:pPr>
    </w:p>
    <w:p w14:paraId="21FF6B3A" w14:textId="77777777" w:rsidR="00B63F33" w:rsidRDefault="00B63F33">
      <w:pPr>
        <w:jc w:val="center"/>
        <w:rPr>
          <w:rFonts w:cs="Arial"/>
          <w:b/>
        </w:rPr>
      </w:pPr>
      <w:r>
        <w:rPr>
          <w:rFonts w:cs="Arial"/>
          <w:b/>
        </w:rPr>
        <w:t>FORM OF TRANSFER REQUEST</w:t>
      </w:r>
    </w:p>
    <w:p w14:paraId="5EC155E7" w14:textId="77777777" w:rsidR="00B63F33" w:rsidRDefault="00B63F33">
      <w:pPr>
        <w:jc w:val="center"/>
        <w:rPr>
          <w:rFonts w:cs="Arial"/>
          <w:b/>
        </w:rPr>
      </w:pPr>
    </w:p>
    <w:p w14:paraId="3A0963D9" w14:textId="77777777" w:rsidR="00B63F33" w:rsidRDefault="00B63F33">
      <w:pPr>
        <w:rPr>
          <w:rFonts w:cs="Arial"/>
        </w:rPr>
      </w:pPr>
      <w:r>
        <w:rPr>
          <w:rFonts w:cs="Arial"/>
        </w:rPr>
        <w:t>Irrevocable Standby Letter of Credit No. ____________________</w:t>
      </w:r>
    </w:p>
    <w:p w14:paraId="15484903" w14:textId="77777777" w:rsidR="00B63F33" w:rsidRDefault="00B63F33">
      <w:pPr>
        <w:rPr>
          <w:rFonts w:cs="Arial"/>
        </w:rPr>
      </w:pPr>
    </w:p>
    <w:p w14:paraId="1125AF04" w14:textId="77777777" w:rsidR="00B63F33" w:rsidRDefault="00B63F33">
      <w:pPr>
        <w:rPr>
          <w:rFonts w:cs="Arial"/>
        </w:rPr>
      </w:pPr>
    </w:p>
    <w:p w14:paraId="6DB7E565" w14:textId="77777777" w:rsidR="00B63F33" w:rsidRDefault="00B63F33">
      <w:pPr>
        <w:rPr>
          <w:rFonts w:cs="Arial"/>
        </w:rPr>
      </w:pPr>
      <w:r>
        <w:rPr>
          <w:rFonts w:cs="Arial"/>
        </w:rPr>
        <w:t>Current Beneficiary:</w:t>
      </w:r>
      <w:r>
        <w:rPr>
          <w:rFonts w:cs="Arial"/>
        </w:rPr>
        <w:tab/>
      </w:r>
      <w:r>
        <w:rPr>
          <w:rFonts w:cs="Arial"/>
        </w:rPr>
        <w:tab/>
      </w:r>
      <w:r>
        <w:rPr>
          <w:rFonts w:cs="Arial"/>
        </w:rPr>
        <w:tab/>
      </w:r>
      <w:r>
        <w:rPr>
          <w:rFonts w:cs="Arial"/>
        </w:rPr>
        <w:tab/>
        <w:t>Applicant:</w:t>
      </w:r>
    </w:p>
    <w:p w14:paraId="42E855B1" w14:textId="77777777" w:rsidR="00B63F33" w:rsidRDefault="00B63F33">
      <w:pPr>
        <w:rPr>
          <w:rFonts w:cs="Arial"/>
        </w:rPr>
      </w:pPr>
    </w:p>
    <w:p w14:paraId="662C46D5" w14:textId="77777777" w:rsidR="00B63F33" w:rsidRDefault="00B63F33">
      <w:pPr>
        <w:rPr>
          <w:rFonts w:cs="Arial"/>
        </w:rPr>
      </w:pPr>
      <w:r>
        <w:rPr>
          <w:rFonts w:cs="Arial"/>
        </w:rPr>
        <w:t>__________________________</w:t>
      </w:r>
      <w:r>
        <w:rPr>
          <w:rFonts w:cs="Arial"/>
        </w:rPr>
        <w:tab/>
      </w:r>
      <w:r>
        <w:rPr>
          <w:rFonts w:cs="Arial"/>
        </w:rPr>
        <w:tab/>
        <w:t>____________________________</w:t>
      </w:r>
    </w:p>
    <w:p w14:paraId="4BA649EC" w14:textId="77777777" w:rsidR="00B63F33" w:rsidRDefault="00B63F33">
      <w:pPr>
        <w:rPr>
          <w:rFonts w:cs="Arial"/>
        </w:rPr>
      </w:pPr>
      <w:r>
        <w:rPr>
          <w:rFonts w:cs="Arial"/>
        </w:rPr>
        <w:t>__________________________</w:t>
      </w:r>
      <w:r>
        <w:rPr>
          <w:rFonts w:cs="Arial"/>
        </w:rPr>
        <w:tab/>
      </w:r>
      <w:r>
        <w:rPr>
          <w:rFonts w:cs="Arial"/>
        </w:rPr>
        <w:tab/>
        <w:t>____________________________</w:t>
      </w:r>
    </w:p>
    <w:p w14:paraId="456EB5D4" w14:textId="77777777" w:rsidR="00B63F33" w:rsidRDefault="00B63F33">
      <w:pPr>
        <w:rPr>
          <w:rFonts w:cs="Arial"/>
        </w:rPr>
      </w:pPr>
      <w:r>
        <w:rPr>
          <w:rFonts w:cs="Arial"/>
        </w:rPr>
        <w:t>__________________________</w:t>
      </w:r>
      <w:r>
        <w:rPr>
          <w:rFonts w:cs="Arial"/>
        </w:rPr>
        <w:tab/>
      </w:r>
      <w:r>
        <w:rPr>
          <w:rFonts w:cs="Arial"/>
        </w:rPr>
        <w:tab/>
        <w:t>____________________________</w:t>
      </w:r>
    </w:p>
    <w:p w14:paraId="434270B7" w14:textId="77777777" w:rsidR="00B63F33" w:rsidRDefault="00B63F33">
      <w:pPr>
        <w:rPr>
          <w:rFonts w:cs="Arial"/>
        </w:rPr>
      </w:pPr>
      <w:r>
        <w:rPr>
          <w:rFonts w:cs="Arial"/>
        </w:rPr>
        <w:t>__________________________</w:t>
      </w:r>
      <w:r>
        <w:rPr>
          <w:rFonts w:cs="Arial"/>
        </w:rPr>
        <w:tab/>
      </w:r>
      <w:r>
        <w:rPr>
          <w:rFonts w:cs="Arial"/>
        </w:rPr>
        <w:tab/>
        <w:t>____________________________</w:t>
      </w:r>
    </w:p>
    <w:p w14:paraId="66EAE921" w14:textId="77777777" w:rsidR="00B63F33" w:rsidRDefault="00B63F33">
      <w:pPr>
        <w:rPr>
          <w:rFonts w:cs="Arial"/>
        </w:rPr>
      </w:pPr>
    </w:p>
    <w:p w14:paraId="5CFE9039" w14:textId="77777777" w:rsidR="00B63F33" w:rsidRDefault="00B63F33">
      <w:pPr>
        <w:rPr>
          <w:rFonts w:cs="Arial"/>
        </w:rPr>
      </w:pPr>
      <w:r>
        <w:rPr>
          <w:rFonts w:cs="Arial"/>
        </w:rPr>
        <w:t>To: [Name of Issuer] ("Issuer")</w:t>
      </w:r>
    </w:p>
    <w:p w14:paraId="2CEFB080" w14:textId="77777777" w:rsidR="00B63F33" w:rsidRDefault="00B63F33">
      <w:pPr>
        <w:rPr>
          <w:rFonts w:cs="Arial"/>
        </w:rPr>
      </w:pPr>
    </w:p>
    <w:p w14:paraId="0252F785" w14:textId="77777777" w:rsidR="00B63F33" w:rsidRDefault="00B63F33">
      <w:pPr>
        <w:rPr>
          <w:rFonts w:cs="Arial"/>
        </w:rPr>
      </w:pPr>
      <w:r>
        <w:rPr>
          <w:rFonts w:cs="Arial"/>
        </w:rPr>
        <w:t>The undersigned, as the current "Beneficiary" of the above-referenced Letter of Credit, hereby requests that you reissue the Letter of Credit in favor of the transferee named below [insert transferee name and address below]:</w:t>
      </w:r>
    </w:p>
    <w:p w14:paraId="43EE54B3" w14:textId="77777777" w:rsidR="00B63F33" w:rsidRDefault="00B63F33">
      <w:pPr>
        <w:rPr>
          <w:rFonts w:cs="Arial"/>
        </w:rPr>
      </w:pPr>
    </w:p>
    <w:p w14:paraId="29343764" w14:textId="77777777" w:rsidR="00B63F33" w:rsidRDefault="00B63F33">
      <w:pPr>
        <w:ind w:left="540"/>
        <w:rPr>
          <w:rFonts w:cs="Arial"/>
        </w:rPr>
      </w:pPr>
      <w:r>
        <w:rPr>
          <w:rFonts w:cs="Arial"/>
        </w:rPr>
        <w:t>_____________________________</w:t>
      </w:r>
    </w:p>
    <w:p w14:paraId="533DB212" w14:textId="77777777" w:rsidR="00B63F33" w:rsidRDefault="00B63F33">
      <w:pPr>
        <w:ind w:left="540"/>
        <w:rPr>
          <w:rFonts w:cs="Arial"/>
        </w:rPr>
      </w:pPr>
      <w:r>
        <w:rPr>
          <w:rFonts w:cs="Arial"/>
        </w:rPr>
        <w:t>_____________________________</w:t>
      </w:r>
    </w:p>
    <w:p w14:paraId="00E545F8" w14:textId="77777777" w:rsidR="00B63F33" w:rsidRDefault="00B63F33">
      <w:pPr>
        <w:ind w:left="540"/>
        <w:rPr>
          <w:rFonts w:cs="Arial"/>
        </w:rPr>
      </w:pPr>
      <w:r>
        <w:rPr>
          <w:rFonts w:cs="Arial"/>
        </w:rPr>
        <w:t>_____________________________</w:t>
      </w:r>
    </w:p>
    <w:p w14:paraId="76B9DE02" w14:textId="77777777" w:rsidR="00B63F33" w:rsidRDefault="00B63F33">
      <w:pPr>
        <w:ind w:left="540"/>
        <w:rPr>
          <w:rFonts w:cs="Arial"/>
        </w:rPr>
      </w:pPr>
      <w:r>
        <w:rPr>
          <w:rFonts w:cs="Arial"/>
        </w:rPr>
        <w:t>_____________________________</w:t>
      </w:r>
    </w:p>
    <w:p w14:paraId="5386E54B" w14:textId="77777777" w:rsidR="00B63F33" w:rsidRDefault="00B63F33">
      <w:pPr>
        <w:rPr>
          <w:rFonts w:cs="Arial"/>
        </w:rPr>
      </w:pPr>
    </w:p>
    <w:p w14:paraId="79174948" w14:textId="77777777" w:rsidR="00B63F33" w:rsidRDefault="00B63F33">
      <w:pPr>
        <w:rPr>
          <w:rFonts w:cs="Arial"/>
        </w:rPr>
      </w:pPr>
      <w:r>
        <w:rPr>
          <w:rFonts w:cs="Arial"/>
        </w:rPr>
        <w:t xml:space="preserve">From and after the date this transfer request is delivered to Issuer, the transferee shall be the "Beneficiary" under the Letter of Credit for all purposes and shall be entitled to exercise and enjoy </w:t>
      </w:r>
      <w:proofErr w:type="gramStart"/>
      <w:r>
        <w:rPr>
          <w:rFonts w:cs="Arial"/>
        </w:rPr>
        <w:t>all of</w:t>
      </w:r>
      <w:proofErr w:type="gramEnd"/>
      <w:r>
        <w:rPr>
          <w:rFonts w:cs="Arial"/>
        </w:rPr>
        <w:t xml:space="preserve"> the rights, privileges and benefits thereof.</w:t>
      </w:r>
    </w:p>
    <w:p w14:paraId="0D634399" w14:textId="77777777" w:rsidR="00B63F33" w:rsidRDefault="00B63F33">
      <w:pPr>
        <w:rPr>
          <w:rFonts w:cs="Arial"/>
        </w:rPr>
      </w:pPr>
    </w:p>
    <w:p w14:paraId="3425028C" w14:textId="6C21C0A8" w:rsidR="00B63F33" w:rsidRDefault="00B63F33">
      <w:pPr>
        <w:rPr>
          <w:rFonts w:cs="Arial"/>
        </w:rPr>
      </w:pPr>
      <w:r>
        <w:rPr>
          <w:rFonts w:cs="Arial"/>
        </w:rPr>
        <w:t>Dated: ________________</w:t>
      </w:r>
      <w:r>
        <w:rPr>
          <w:rFonts w:cs="Arial"/>
        </w:rPr>
        <w:tab/>
      </w:r>
      <w:r>
        <w:rPr>
          <w:rFonts w:cs="Arial"/>
        </w:rPr>
        <w:tab/>
      </w:r>
      <w:r w:rsidR="00F3269C">
        <w:rPr>
          <w:rFonts w:cs="Arial"/>
        </w:rPr>
        <w:t>Northern States Power Company</w:t>
      </w:r>
    </w:p>
    <w:p w14:paraId="0ADF9705" w14:textId="77777777" w:rsidR="00B63F33" w:rsidRDefault="00B63F33">
      <w:pPr>
        <w:rPr>
          <w:rFonts w:cs="Arial"/>
        </w:rPr>
      </w:pPr>
    </w:p>
    <w:p w14:paraId="3EB14C58" w14:textId="77777777" w:rsidR="00B63F33" w:rsidRDefault="00B63F33">
      <w:pPr>
        <w:rPr>
          <w:rFonts w:cs="Arial"/>
        </w:rPr>
      </w:pPr>
    </w:p>
    <w:p w14:paraId="32CAA848" w14:textId="77777777" w:rsidR="00B63F33" w:rsidRDefault="00B63F33">
      <w:pPr>
        <w:rPr>
          <w:rFonts w:cs="Arial"/>
        </w:rPr>
      </w:pPr>
      <w:r>
        <w:rPr>
          <w:rFonts w:cs="Arial"/>
        </w:rPr>
        <w:tab/>
      </w:r>
      <w:r>
        <w:rPr>
          <w:rFonts w:cs="Arial"/>
        </w:rPr>
        <w:tab/>
      </w:r>
      <w:r>
        <w:rPr>
          <w:rFonts w:cs="Arial"/>
        </w:rPr>
        <w:tab/>
      </w:r>
      <w:r>
        <w:rPr>
          <w:rFonts w:cs="Arial"/>
        </w:rPr>
        <w:tab/>
      </w:r>
      <w:r>
        <w:rPr>
          <w:rFonts w:cs="Arial"/>
        </w:rPr>
        <w:tab/>
      </w:r>
      <w:r>
        <w:rPr>
          <w:rFonts w:cs="Arial"/>
        </w:rPr>
        <w:tab/>
        <w:t>By: ______________________</w:t>
      </w:r>
    </w:p>
    <w:p w14:paraId="23A6A39B" w14:textId="77777777" w:rsidR="00B63F33" w:rsidRDefault="00B63F33">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Name: ______________</w:t>
      </w:r>
    </w:p>
    <w:p w14:paraId="4ADF35CB" w14:textId="77777777" w:rsidR="00B63F33" w:rsidRDefault="00B63F33">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Title: ______________</w:t>
      </w:r>
    </w:p>
    <w:p w14:paraId="701F8755" w14:textId="77777777" w:rsidR="00B63F33" w:rsidRDefault="00B63F33">
      <w:pPr>
        <w:rPr>
          <w:rFonts w:cs="Arial"/>
        </w:rPr>
      </w:pPr>
    </w:p>
    <w:p w14:paraId="0497B8E0" w14:textId="77777777" w:rsidR="00B63F33" w:rsidRDefault="00B63F33">
      <w:pPr>
        <w:rPr>
          <w:rFonts w:cs="Arial"/>
        </w:rPr>
      </w:pPr>
      <w:r>
        <w:rPr>
          <w:rFonts w:cs="Arial"/>
        </w:rPr>
        <w:tab/>
      </w:r>
      <w:r>
        <w:rPr>
          <w:rFonts w:cs="Arial"/>
        </w:rPr>
        <w:tab/>
      </w:r>
      <w:r>
        <w:rPr>
          <w:rFonts w:cs="Arial"/>
        </w:rPr>
        <w:tab/>
      </w:r>
      <w:r>
        <w:rPr>
          <w:rFonts w:cs="Arial"/>
        </w:rPr>
        <w:tab/>
      </w:r>
      <w:r>
        <w:rPr>
          <w:rFonts w:cs="Arial"/>
        </w:rPr>
        <w:tab/>
      </w:r>
      <w:r>
        <w:rPr>
          <w:rFonts w:cs="Arial"/>
        </w:rPr>
        <w:tab/>
        <w:t>[Notary Acknowledgement]</w:t>
      </w:r>
    </w:p>
    <w:p w14:paraId="4B9C198E" w14:textId="77777777" w:rsidR="00B63F33" w:rsidRDefault="00B63F33">
      <w:pPr>
        <w:rPr>
          <w:rFonts w:cs="Arial"/>
        </w:rPr>
      </w:pPr>
    </w:p>
    <w:p w14:paraId="3E8D2E8F" w14:textId="77777777" w:rsidR="00B63F33" w:rsidRDefault="00B63F33">
      <w:pPr>
        <w:rPr>
          <w:rFonts w:cs="Arial"/>
        </w:rPr>
      </w:pPr>
      <w:r>
        <w:rPr>
          <w:rFonts w:cs="Arial"/>
        </w:rPr>
        <w:t xml:space="preserve">To be signed by a person purporting to be an authorized representative of Beneficiary and indicating his or her title or other official </w:t>
      </w:r>
      <w:proofErr w:type="gramStart"/>
      <w:r>
        <w:rPr>
          <w:rFonts w:cs="Arial"/>
        </w:rPr>
        <w:t>capacity, and</w:t>
      </w:r>
      <w:proofErr w:type="gramEnd"/>
      <w:r>
        <w:rPr>
          <w:rFonts w:cs="Arial"/>
        </w:rPr>
        <w:t xml:space="preserve"> acknowledged by a notary public.</w:t>
      </w:r>
    </w:p>
    <w:p w14:paraId="493FF2D9" w14:textId="77777777" w:rsidR="00B63F33" w:rsidRDefault="00B63F33">
      <w:pPr>
        <w:spacing w:after="240"/>
        <w:rPr>
          <w:rFonts w:cs="Arial"/>
        </w:rPr>
      </w:pPr>
    </w:p>
    <w:p w14:paraId="355452F0" w14:textId="77777777" w:rsidR="00B63F33" w:rsidRDefault="00B63F33">
      <w:pPr>
        <w:spacing w:line="200" w:lineRule="exact"/>
        <w:rPr>
          <w:rFonts w:cs="Arial"/>
        </w:rPr>
        <w:sectPr w:rsidR="00B63F33">
          <w:headerReference w:type="even" r:id="rId71"/>
          <w:headerReference w:type="default" r:id="rId72"/>
          <w:footerReference w:type="even" r:id="rId73"/>
          <w:footerReference w:type="default" r:id="rId74"/>
          <w:headerReference w:type="first" r:id="rId75"/>
          <w:footerReference w:type="first" r:id="rId76"/>
          <w:pgSz w:w="12240" w:h="15840" w:code="1"/>
          <w:pgMar w:top="1440" w:right="1440" w:bottom="1440" w:left="1440" w:header="720" w:footer="720" w:gutter="0"/>
          <w:cols w:space="720"/>
          <w:titlePg/>
          <w:docGrid w:linePitch="360"/>
        </w:sectPr>
      </w:pPr>
    </w:p>
    <w:p w14:paraId="06AB42F2" w14:textId="3B6BC741" w:rsidR="00B63F33" w:rsidRDefault="004666F5" w:rsidP="005357FF">
      <w:pPr>
        <w:pStyle w:val="ExhibitTitle"/>
        <w:rPr>
          <w:rFonts w:cs="Arial"/>
        </w:rPr>
      </w:pPr>
      <w:bookmarkStart w:id="764" w:name="_Toc149813158"/>
      <w:bookmarkStart w:id="765" w:name="_Ref149813961"/>
      <w:bookmarkStart w:id="766" w:name="_Ref149813976"/>
      <w:bookmarkStart w:id="767" w:name="_Toc150954975"/>
      <w:r>
        <w:lastRenderedPageBreak/>
        <w:t xml:space="preserve">EXHIBIT </w:t>
      </w:r>
      <w:fldSimple w:instr=" SEQ EXHIBIT \* ALPHABETIC ">
        <w:r w:rsidR="00BC3574">
          <w:rPr>
            <w:noProof/>
          </w:rPr>
          <w:t>H</w:t>
        </w:r>
      </w:fldSimple>
      <w:r>
        <w:t xml:space="preserve"> - </w:t>
      </w:r>
      <w:r w:rsidR="00B63F33">
        <w:rPr>
          <w:rFonts w:cs="Arial"/>
        </w:rPr>
        <w:t>FORM OF GUARANTY</w:t>
      </w:r>
      <w:bookmarkEnd w:id="764"/>
      <w:bookmarkEnd w:id="765"/>
      <w:bookmarkEnd w:id="766"/>
      <w:bookmarkEnd w:id="767"/>
    </w:p>
    <w:p w14:paraId="7333F2E3" w14:textId="77777777" w:rsidR="00B63F33" w:rsidRDefault="00B63F33">
      <w:pPr>
        <w:jc w:val="center"/>
        <w:rPr>
          <w:rFonts w:cs="Arial"/>
          <w:b/>
        </w:rPr>
      </w:pPr>
    </w:p>
    <w:p w14:paraId="2AF9D86A" w14:textId="77777777" w:rsidR="00B63F33" w:rsidRDefault="00B63F33">
      <w:pPr>
        <w:spacing w:after="240"/>
        <w:jc w:val="center"/>
        <w:rPr>
          <w:rFonts w:cs="Arial"/>
          <w:b/>
          <w:u w:val="single"/>
        </w:rPr>
      </w:pPr>
      <w:r>
        <w:rPr>
          <w:rFonts w:cs="Arial"/>
          <w:b/>
          <w:u w:val="single"/>
        </w:rPr>
        <w:t>GUARANTY</w:t>
      </w:r>
    </w:p>
    <w:p w14:paraId="4DF02E5A" w14:textId="640DEE08" w:rsidR="00B63F33" w:rsidRDefault="00B63F33">
      <w:pPr>
        <w:ind w:firstLine="720"/>
        <w:jc w:val="both"/>
        <w:rPr>
          <w:rFonts w:cs="Arial"/>
        </w:rPr>
      </w:pPr>
      <w:bookmarkStart w:id="768" w:name="_Hlk46495723"/>
      <w:r>
        <w:rPr>
          <w:rFonts w:cs="Arial"/>
        </w:rPr>
        <w:t xml:space="preserve">This Guaranty is executed and delivered as of this _____ day of ___________, 20__ by </w:t>
      </w:r>
      <w:r>
        <w:rPr>
          <w:rFonts w:cs="Arial"/>
          <w:b/>
        </w:rPr>
        <w:t>_____________________,</w:t>
      </w:r>
      <w:r>
        <w:rPr>
          <w:rFonts w:cs="Arial"/>
        </w:rPr>
        <w:t xml:space="preserve"> a _____________ [corporation] (“</w:t>
      </w:r>
      <w:r>
        <w:rPr>
          <w:rFonts w:cs="Arial"/>
          <w:u w:val="single"/>
        </w:rPr>
        <w:t>Guarantor</w:t>
      </w:r>
      <w:r>
        <w:rPr>
          <w:rFonts w:cs="Arial"/>
        </w:rPr>
        <w:t xml:space="preserve">”), in favor of </w:t>
      </w:r>
      <w:r w:rsidR="00F3269C">
        <w:rPr>
          <w:rFonts w:cs="Arial"/>
        </w:rPr>
        <w:t>Northern States Power Company, a [</w:t>
      </w:r>
      <w:r w:rsidR="00F3269C" w:rsidRPr="009735FE">
        <w:rPr>
          <w:rFonts w:cs="Arial"/>
          <w:highlight w:val="yellow"/>
        </w:rPr>
        <w:t>Minnesota</w:t>
      </w:r>
      <w:r w:rsidR="009735FE" w:rsidRPr="009735FE">
        <w:rPr>
          <w:rFonts w:cs="Arial"/>
          <w:highlight w:val="yellow"/>
        </w:rPr>
        <w:t xml:space="preserve"> Wisconsin</w:t>
      </w:r>
      <w:r w:rsidR="009735FE">
        <w:rPr>
          <w:rFonts w:cs="Arial"/>
        </w:rPr>
        <w:t>] corporation</w:t>
      </w:r>
      <w:r>
        <w:rPr>
          <w:rFonts w:cs="Arial"/>
        </w:rPr>
        <w:t xml:space="preserve"> (“</w:t>
      </w:r>
      <w:r>
        <w:rPr>
          <w:rFonts w:cs="Arial"/>
          <w:u w:val="single"/>
        </w:rPr>
        <w:t>Company</w:t>
      </w:r>
      <w:r>
        <w:rPr>
          <w:rFonts w:cs="Arial"/>
        </w:rPr>
        <w:t xml:space="preserve">”), in connection with the performance by </w:t>
      </w:r>
      <w:r>
        <w:rPr>
          <w:rFonts w:cs="Arial"/>
          <w:b/>
        </w:rPr>
        <w:t>______________________________,</w:t>
      </w:r>
      <w:r>
        <w:rPr>
          <w:rFonts w:cs="Arial"/>
        </w:rPr>
        <w:t xml:space="preserve"> a ______________ [limited liability company] (“</w:t>
      </w:r>
      <w:r>
        <w:rPr>
          <w:rFonts w:cs="Arial"/>
          <w:u w:val="single"/>
        </w:rPr>
        <w:t>Seller</w:t>
      </w:r>
      <w:r>
        <w:rPr>
          <w:rFonts w:cs="Arial"/>
        </w:rPr>
        <w:t>”) of a [</w:t>
      </w:r>
      <w:r>
        <w:rPr>
          <w:rFonts w:cs="Arial"/>
          <w:highlight w:val="yellow"/>
        </w:rPr>
        <w:t>Wind</w:t>
      </w:r>
      <w:r>
        <w:rPr>
          <w:rFonts w:cs="Arial"/>
        </w:rPr>
        <w:t>] [</w:t>
      </w:r>
      <w:r>
        <w:rPr>
          <w:rFonts w:cs="Arial"/>
          <w:highlight w:val="yellow"/>
        </w:rPr>
        <w:t>Solar</w:t>
      </w:r>
      <w:r>
        <w:rPr>
          <w:rFonts w:cs="Arial"/>
        </w:rPr>
        <w:t>] Energy Purchase Agreement dated ___________________, 20____ between Seller and Company (the “</w:t>
      </w:r>
      <w:r>
        <w:rPr>
          <w:rFonts w:cs="Arial"/>
          <w:u w:val="single"/>
        </w:rPr>
        <w:t>PPA</w:t>
      </w:r>
      <w:r>
        <w:rPr>
          <w:rFonts w:cs="Arial"/>
        </w:rPr>
        <w:t>”).</w:t>
      </w:r>
    </w:p>
    <w:p w14:paraId="122F165A" w14:textId="77777777" w:rsidR="00B63F33" w:rsidRDefault="00B63F33">
      <w:pPr>
        <w:spacing w:before="240" w:after="240"/>
        <w:jc w:val="center"/>
        <w:rPr>
          <w:rFonts w:cs="Arial"/>
          <w:sz w:val="20"/>
          <w:szCs w:val="20"/>
        </w:rPr>
      </w:pPr>
      <w:r>
        <w:rPr>
          <w:rFonts w:cs="Arial"/>
          <w:sz w:val="20"/>
          <w:szCs w:val="20"/>
        </w:rPr>
        <w:t>- RECITALS -</w:t>
      </w:r>
    </w:p>
    <w:p w14:paraId="33794480" w14:textId="77777777" w:rsidR="00B63F33" w:rsidRDefault="00B63F33">
      <w:pPr>
        <w:spacing w:after="240"/>
        <w:ind w:firstLine="720"/>
        <w:jc w:val="both"/>
        <w:rPr>
          <w:rFonts w:cs="Arial"/>
        </w:rPr>
      </w:pPr>
      <w:r>
        <w:rPr>
          <w:rFonts w:cs="Arial"/>
        </w:rPr>
        <w:t>A.</w:t>
      </w:r>
      <w:r>
        <w:rPr>
          <w:rFonts w:cs="Arial"/>
        </w:rPr>
        <w:tab/>
        <w:t>Seller owns and operates a [</w:t>
      </w:r>
      <w:r>
        <w:rPr>
          <w:rFonts w:cs="Arial"/>
          <w:highlight w:val="yellow"/>
        </w:rPr>
        <w:t>wind</w:t>
      </w:r>
      <w:r>
        <w:rPr>
          <w:rFonts w:cs="Arial"/>
        </w:rPr>
        <w:t>] [</w:t>
      </w:r>
      <w:r>
        <w:rPr>
          <w:rFonts w:cs="Arial"/>
          <w:highlight w:val="yellow"/>
        </w:rPr>
        <w:t>solar</w:t>
      </w:r>
      <w:r>
        <w:rPr>
          <w:rFonts w:cs="Arial"/>
        </w:rPr>
        <w:t>] power electric generation facility having total nameplate capacity of approximately ____ MW located in ______________ County, __________ (the “</w:t>
      </w:r>
      <w:r>
        <w:rPr>
          <w:rFonts w:cs="Arial"/>
          <w:u w:val="single"/>
        </w:rPr>
        <w:t>Facility</w:t>
      </w:r>
      <w:r>
        <w:rPr>
          <w:rFonts w:cs="Arial"/>
        </w:rPr>
        <w:t>”).</w:t>
      </w:r>
    </w:p>
    <w:p w14:paraId="4E45B91E" w14:textId="77777777" w:rsidR="00B63F33" w:rsidRDefault="00B63F33">
      <w:pPr>
        <w:spacing w:after="240"/>
        <w:ind w:firstLine="720"/>
        <w:jc w:val="both"/>
        <w:rPr>
          <w:rFonts w:cs="Arial"/>
        </w:rPr>
      </w:pPr>
      <w:r>
        <w:rPr>
          <w:rFonts w:cs="Arial"/>
        </w:rPr>
        <w:t>B.</w:t>
      </w:r>
      <w:r>
        <w:rPr>
          <w:rFonts w:cs="Arial"/>
        </w:rPr>
        <w:tab/>
        <w:t xml:space="preserve">Seller and Company have </w:t>
      </w:r>
      <w:proofErr w:type="gramStart"/>
      <w:r>
        <w:rPr>
          <w:rFonts w:cs="Arial"/>
        </w:rPr>
        <w:t>entered into</w:t>
      </w:r>
      <w:proofErr w:type="gramEnd"/>
      <w:r>
        <w:rPr>
          <w:rFonts w:cs="Arial"/>
        </w:rPr>
        <w:t xml:space="preserve"> the PPA for the purchase and sale of capacity and electrical energy from the Facility on the terms and conditions set forth therein.</w:t>
      </w:r>
    </w:p>
    <w:p w14:paraId="63DB8CD6" w14:textId="77777777" w:rsidR="00B63F33" w:rsidRDefault="00B63F33">
      <w:pPr>
        <w:spacing w:after="240"/>
        <w:ind w:firstLine="720"/>
        <w:jc w:val="both"/>
        <w:rPr>
          <w:rFonts w:cs="Arial"/>
        </w:rPr>
      </w:pPr>
      <w:r>
        <w:rPr>
          <w:rFonts w:cs="Arial"/>
        </w:rPr>
        <w:t>C.</w:t>
      </w:r>
      <w:r>
        <w:rPr>
          <w:rFonts w:cs="Arial"/>
        </w:rPr>
        <w:tab/>
        <w:t xml:space="preserve">Seller is controlled by Guarantor.  Guarantor expects to derive substantial benefits from the performance of the PPA by Seller and Company.  To induce Company to </w:t>
      </w:r>
      <w:proofErr w:type="gramStart"/>
      <w:r>
        <w:rPr>
          <w:rFonts w:cs="Arial"/>
        </w:rPr>
        <w:t>enter into</w:t>
      </w:r>
      <w:proofErr w:type="gramEnd"/>
      <w:r>
        <w:rPr>
          <w:rFonts w:cs="Arial"/>
        </w:rPr>
        <w:t xml:space="preserve"> and continue the PPA and to consummate the purchase and sale of electrical energy contemplated by the PPA, Guarantor has agreed to guarantee the obligations of Seller as provided in this Guaranty.</w:t>
      </w:r>
    </w:p>
    <w:p w14:paraId="78B6DEE1" w14:textId="77777777" w:rsidR="00B63F33" w:rsidRDefault="00B63F33">
      <w:pPr>
        <w:spacing w:after="240"/>
        <w:ind w:firstLine="720"/>
        <w:jc w:val="both"/>
        <w:rPr>
          <w:rFonts w:cs="Arial"/>
        </w:rPr>
      </w:pPr>
      <w:r>
        <w:rPr>
          <w:rFonts w:cs="Arial"/>
        </w:rPr>
        <w:t>NOW, THEREFORE, in consideration of the foregoing, Guarantor agrees as follows:</w:t>
      </w:r>
    </w:p>
    <w:p w14:paraId="1A916895" w14:textId="77777777" w:rsidR="00B63F33" w:rsidRDefault="00B63F33">
      <w:pPr>
        <w:spacing w:after="240"/>
        <w:jc w:val="center"/>
        <w:rPr>
          <w:rFonts w:cs="Arial"/>
          <w:sz w:val="20"/>
          <w:szCs w:val="20"/>
        </w:rPr>
      </w:pPr>
      <w:r>
        <w:rPr>
          <w:rFonts w:cs="Arial"/>
          <w:sz w:val="20"/>
          <w:szCs w:val="20"/>
        </w:rPr>
        <w:t>- AGREEMENT -</w:t>
      </w:r>
    </w:p>
    <w:p w14:paraId="5765E5EF" w14:textId="77777777" w:rsidR="00B63F33" w:rsidRDefault="00B63F33">
      <w:pPr>
        <w:spacing w:after="240"/>
        <w:ind w:firstLine="720"/>
        <w:jc w:val="both"/>
        <w:rPr>
          <w:rFonts w:cs="Arial"/>
        </w:rPr>
      </w:pPr>
      <w:r>
        <w:rPr>
          <w:rFonts w:cs="Arial"/>
        </w:rPr>
        <w:t>1.</w:t>
      </w:r>
      <w:r>
        <w:rPr>
          <w:rFonts w:cs="Arial"/>
        </w:rPr>
        <w:tab/>
      </w:r>
      <w:r>
        <w:rPr>
          <w:rFonts w:cs="Arial"/>
          <w:u w:val="single"/>
        </w:rPr>
        <w:t>Guaranty</w:t>
      </w:r>
      <w:r>
        <w:rPr>
          <w:rFonts w:cs="Arial"/>
        </w:rPr>
        <w:t xml:space="preserve">.  Subject to the provisions of this Guaranty, Guarantor hereby absolutely, irrevocably, unconditionally, and fully guarantees to Company the due, prompt, and complete observance, performance, and discharge of </w:t>
      </w:r>
      <w:proofErr w:type="gramStart"/>
      <w:r>
        <w:rPr>
          <w:rFonts w:cs="Arial"/>
        </w:rPr>
        <w:t>each and every</w:t>
      </w:r>
      <w:proofErr w:type="gramEnd"/>
      <w:r>
        <w:rPr>
          <w:rFonts w:cs="Arial"/>
        </w:rPr>
        <w:t xml:space="preserve"> payment obligation of Seller under the PPA, whether incurred before or after the date of delivery of this Guaranty (the “</w:t>
      </w:r>
      <w:r>
        <w:rPr>
          <w:rFonts w:cs="Arial"/>
          <w:u w:val="single"/>
        </w:rPr>
        <w:t>Obligations</w:t>
      </w:r>
      <w:r>
        <w:rPr>
          <w:rFonts w:cs="Arial"/>
        </w:rPr>
        <w:t>”).  This is a guaranty of payment, not of collection, and as such, Company shall not be required to institute, pursue, or exhaust any remedies against Seller before instituting suit, obtaining judgment, and executing thereon against Guarantor under this Guaranty.  This Guaranty shall survive termination of the PPA to the extent necessary to enforce and complete the rights, duties and obligations of Company and Seller thereunder.</w:t>
      </w:r>
    </w:p>
    <w:p w14:paraId="7B32D870" w14:textId="77777777" w:rsidR="00B63F33" w:rsidRDefault="00B63F33">
      <w:pPr>
        <w:spacing w:after="240"/>
        <w:ind w:firstLine="720"/>
        <w:jc w:val="both"/>
        <w:rPr>
          <w:rFonts w:cs="Arial"/>
        </w:rPr>
      </w:pPr>
      <w:r>
        <w:rPr>
          <w:rFonts w:cs="Arial"/>
        </w:rPr>
        <w:t>2.</w:t>
      </w:r>
      <w:r>
        <w:rPr>
          <w:rFonts w:cs="Arial"/>
        </w:rPr>
        <w:tab/>
      </w:r>
      <w:r>
        <w:rPr>
          <w:rFonts w:cs="Arial"/>
          <w:u w:val="single"/>
        </w:rPr>
        <w:t>Maximum Liability</w:t>
      </w:r>
      <w:r>
        <w:rPr>
          <w:rFonts w:cs="Arial"/>
        </w:rPr>
        <w:t>.  Notwithstanding anything herein to the contrary, Guarantor’s maximum liability under this Guaranty shall be limited to ______________ dollars (US$_______) plus costs of collection under Section 10 below.</w:t>
      </w:r>
    </w:p>
    <w:p w14:paraId="68A63FFD" w14:textId="77777777" w:rsidR="00B63F33" w:rsidRDefault="00B63F33">
      <w:pPr>
        <w:spacing w:after="240"/>
        <w:ind w:firstLine="720"/>
        <w:jc w:val="both"/>
        <w:rPr>
          <w:rFonts w:cs="Arial"/>
        </w:rPr>
      </w:pPr>
      <w:r>
        <w:rPr>
          <w:rFonts w:cs="Arial"/>
        </w:rPr>
        <w:lastRenderedPageBreak/>
        <w:t>3.</w:t>
      </w:r>
      <w:r>
        <w:rPr>
          <w:rFonts w:cs="Arial"/>
        </w:rPr>
        <w:tab/>
      </w:r>
      <w:r>
        <w:rPr>
          <w:rFonts w:cs="Arial"/>
          <w:u w:val="single"/>
        </w:rPr>
        <w:t>Rights of Company</w:t>
      </w:r>
      <w:r>
        <w:rPr>
          <w:rFonts w:cs="Arial"/>
        </w:rPr>
        <w:t>.  Guarantor hereby grants to Company, in Company’s discretion and without the need to notify or obtain any consent from Guarantor, and without termination, impairment, or any other effect upon Guarantor’s duties hereunder, the power and authority from time to time:</w:t>
      </w:r>
    </w:p>
    <w:p w14:paraId="4CF1BE20" w14:textId="77777777" w:rsidR="00B63F33" w:rsidRDefault="00B63F33">
      <w:pPr>
        <w:spacing w:after="240"/>
        <w:ind w:firstLine="1440"/>
        <w:jc w:val="both"/>
        <w:rPr>
          <w:rFonts w:cs="Arial"/>
        </w:rPr>
      </w:pPr>
      <w:r>
        <w:rPr>
          <w:rFonts w:cs="Arial"/>
        </w:rPr>
        <w:t>(a)</w:t>
      </w:r>
      <w:r>
        <w:rPr>
          <w:rFonts w:cs="Arial"/>
        </w:rPr>
        <w:tab/>
        <w:t xml:space="preserve">to renew, compromise, extend, accelerate, or otherwise change, substitute, supersede, or terminate the terms of performance of any of the Obligations, in each case in accordance with the </w:t>
      </w:r>
      <w:proofErr w:type="gramStart"/>
      <w:r>
        <w:rPr>
          <w:rFonts w:cs="Arial"/>
        </w:rPr>
        <w:t>PPA;</w:t>
      </w:r>
      <w:proofErr w:type="gramEnd"/>
    </w:p>
    <w:p w14:paraId="7117BD12" w14:textId="77777777" w:rsidR="00B63F33" w:rsidRDefault="00B63F33">
      <w:pPr>
        <w:spacing w:after="240"/>
        <w:ind w:firstLine="1440"/>
        <w:jc w:val="both"/>
        <w:rPr>
          <w:rFonts w:cs="Arial"/>
        </w:rPr>
      </w:pPr>
      <w:r>
        <w:rPr>
          <w:rFonts w:cs="Arial"/>
        </w:rPr>
        <w:t>(b)</w:t>
      </w:r>
      <w:r>
        <w:rPr>
          <w:rFonts w:cs="Arial"/>
        </w:rPr>
        <w:tab/>
        <w:t>to grant any indulgences, forbearances, and waivers, on one or more occasions, for any length of time, with respect to Seller’s performance of any of the Obligations; and</w:t>
      </w:r>
    </w:p>
    <w:p w14:paraId="36BD4783" w14:textId="77777777" w:rsidR="00B63F33" w:rsidRDefault="00B63F33">
      <w:pPr>
        <w:spacing w:after="240"/>
        <w:ind w:firstLine="1440"/>
        <w:jc w:val="both"/>
        <w:rPr>
          <w:rFonts w:cs="Arial"/>
        </w:rPr>
      </w:pPr>
      <w:r>
        <w:rPr>
          <w:rFonts w:cs="Arial"/>
        </w:rPr>
        <w:t>(c)</w:t>
      </w:r>
      <w:r>
        <w:rPr>
          <w:rFonts w:cs="Arial"/>
        </w:rPr>
        <w:tab/>
        <w:t>to accept collateral, further guaranties, and/or other security for the Obligations, and, if so accepted, then to impair, exhaust, exchange, enforce, waive, or release any such security.</w:t>
      </w:r>
    </w:p>
    <w:p w14:paraId="166D3CB1" w14:textId="77777777" w:rsidR="00B63F33" w:rsidRDefault="00B63F33">
      <w:pPr>
        <w:spacing w:after="240"/>
        <w:ind w:firstLine="720"/>
        <w:jc w:val="both"/>
        <w:rPr>
          <w:rFonts w:cs="Arial"/>
        </w:rPr>
      </w:pPr>
      <w:r>
        <w:rPr>
          <w:rFonts w:cs="Arial"/>
        </w:rPr>
        <w:t>4.</w:t>
      </w:r>
      <w:r>
        <w:rPr>
          <w:rFonts w:cs="Arial"/>
        </w:rPr>
        <w:tab/>
      </w:r>
      <w:r>
        <w:rPr>
          <w:rFonts w:cs="Arial"/>
          <w:u w:val="single"/>
        </w:rPr>
        <w:t>Performance</w:t>
      </w:r>
      <w:r>
        <w:rPr>
          <w:rFonts w:cs="Arial"/>
        </w:rPr>
        <w:t>.  If any of the Obligations are not performed according to the tenor thereof, and any applicable notice and cure period provided by the PPA has expired (“</w:t>
      </w:r>
      <w:r>
        <w:rPr>
          <w:rFonts w:cs="Arial"/>
          <w:u w:val="single"/>
        </w:rPr>
        <w:t>Default</w:t>
      </w:r>
      <w:r>
        <w:rPr>
          <w:rFonts w:cs="Arial"/>
        </w:rPr>
        <w:t>”), Guarantor shall immediately upon receipt of written demand by Company (a) perform or cause Seller to perform the Obligation in Default, and (b) pay, reimburse, and indemnify Company against any liabilities, damages, and related costs (including attorneys’ fees) incurred by Company as a result thereof, all in such manner and at such times as Company may reasonably direct.</w:t>
      </w:r>
    </w:p>
    <w:p w14:paraId="77BE0C71" w14:textId="10CD2753" w:rsidR="00B63F33" w:rsidRDefault="00B63F33">
      <w:pPr>
        <w:spacing w:after="240"/>
        <w:ind w:firstLine="720"/>
        <w:jc w:val="both"/>
        <w:rPr>
          <w:rFonts w:cs="Arial"/>
        </w:rPr>
      </w:pPr>
      <w:r>
        <w:rPr>
          <w:rFonts w:cs="Arial"/>
        </w:rPr>
        <w:t>5.</w:t>
      </w:r>
      <w:r>
        <w:rPr>
          <w:rFonts w:cs="Arial"/>
        </w:rPr>
        <w:tab/>
      </w:r>
      <w:r>
        <w:rPr>
          <w:rFonts w:cs="Arial"/>
          <w:u w:val="single"/>
        </w:rPr>
        <w:t>Satisfaction</w:t>
      </w:r>
      <w:r>
        <w:rPr>
          <w:rFonts w:cs="Arial"/>
        </w:rPr>
        <w:t>.  Satisfaction by Guarantor of any duty hereunder incident to a particular Default or the occurrence of any other Default shall not discharge Guarantor except with respect to the Default satisfied, it being the intent of Guarantor that this Guaranty be continuing until such time as all of the Obligations have irrevocably been discharged in full, at which time this Guaranty shall automatically terminate.  If at any time the performance of any Obligation by Seller or Guarantor is rescinded or voided under the federal Bankruptcy Code or otherwise, then Guarantor’s duties hereunder shall continue and be deemed to have been automatically reinstated, restored, and continued with respect to that Obligation, as though the performance of that Obligation had never occurred, regardless of whether this Guaranty otherwise had terminated or would have been terminated following or as a result of that performance.</w:t>
      </w:r>
    </w:p>
    <w:p w14:paraId="50F04974" w14:textId="77777777" w:rsidR="00B63F33" w:rsidRDefault="00B63F33">
      <w:pPr>
        <w:spacing w:after="240"/>
        <w:ind w:firstLine="720"/>
        <w:jc w:val="both"/>
        <w:rPr>
          <w:rFonts w:cs="Arial"/>
        </w:rPr>
      </w:pPr>
      <w:r>
        <w:rPr>
          <w:rFonts w:cs="Arial"/>
        </w:rPr>
        <w:t>6.</w:t>
      </w:r>
      <w:r>
        <w:rPr>
          <w:rFonts w:cs="Arial"/>
        </w:rPr>
        <w:tab/>
      </w:r>
      <w:r>
        <w:rPr>
          <w:rFonts w:cs="Arial"/>
          <w:u w:val="single"/>
        </w:rPr>
        <w:t>Notice of Acceptance</w:t>
      </w:r>
      <w:r>
        <w:rPr>
          <w:rFonts w:cs="Arial"/>
        </w:rPr>
        <w:t>.  Guarantor waives and acknowledges notice of acceptance of this Guaranty by Company.</w:t>
      </w:r>
    </w:p>
    <w:p w14:paraId="2D3ED177" w14:textId="77777777" w:rsidR="00B63F33" w:rsidRDefault="00B63F33">
      <w:pPr>
        <w:spacing w:after="240"/>
        <w:ind w:firstLine="720"/>
        <w:jc w:val="both"/>
        <w:rPr>
          <w:rFonts w:cs="Arial"/>
        </w:rPr>
      </w:pPr>
      <w:r>
        <w:rPr>
          <w:rFonts w:cs="Arial"/>
        </w:rPr>
        <w:t>7.</w:t>
      </w:r>
      <w:r>
        <w:rPr>
          <w:rFonts w:cs="Arial"/>
        </w:rPr>
        <w:tab/>
      </w:r>
      <w:r>
        <w:rPr>
          <w:rFonts w:cs="Arial"/>
          <w:u w:val="single"/>
        </w:rPr>
        <w:t>Waivers by Guarantor</w:t>
      </w:r>
      <w:r>
        <w:rPr>
          <w:rFonts w:cs="Arial"/>
        </w:rPr>
        <w:t>.  Guarantor hereby waives and agrees not to assert or take advantage of:</w:t>
      </w:r>
    </w:p>
    <w:p w14:paraId="5DF69267" w14:textId="77777777" w:rsidR="00B63F33" w:rsidRDefault="00B63F33">
      <w:pPr>
        <w:spacing w:after="240"/>
        <w:ind w:firstLine="1440"/>
        <w:jc w:val="both"/>
        <w:rPr>
          <w:rFonts w:cs="Arial"/>
        </w:rPr>
      </w:pPr>
      <w:r>
        <w:rPr>
          <w:rFonts w:cs="Arial"/>
        </w:rPr>
        <w:t>(a)</w:t>
      </w:r>
      <w:r>
        <w:rPr>
          <w:rFonts w:cs="Arial"/>
        </w:rPr>
        <w:tab/>
        <w:t xml:space="preserve">all </w:t>
      </w:r>
      <w:proofErr w:type="gramStart"/>
      <w:r>
        <w:rPr>
          <w:rFonts w:cs="Arial"/>
        </w:rPr>
        <w:t>set-offs</w:t>
      </w:r>
      <w:proofErr w:type="gramEnd"/>
      <w:r>
        <w:rPr>
          <w:rFonts w:cs="Arial"/>
        </w:rPr>
        <w:t>, counterclaims, and, subject to Section 4 above, all presentments, demands for performance, notices of non-performance, protests, and notices of every kind that may be required by Applicable Laws;</w:t>
      </w:r>
    </w:p>
    <w:p w14:paraId="575B60E5" w14:textId="77777777" w:rsidR="00B63F33" w:rsidRDefault="00B63F33">
      <w:pPr>
        <w:spacing w:after="240"/>
        <w:ind w:firstLine="1440"/>
        <w:jc w:val="both"/>
        <w:rPr>
          <w:rFonts w:cs="Arial"/>
        </w:rPr>
      </w:pPr>
      <w:r>
        <w:rPr>
          <w:rFonts w:cs="Arial"/>
        </w:rPr>
        <w:lastRenderedPageBreak/>
        <w:t>(b)</w:t>
      </w:r>
      <w:r>
        <w:rPr>
          <w:rFonts w:cs="Arial"/>
        </w:rPr>
        <w:tab/>
        <w:t xml:space="preserve">any right to require Company to proceed against Seller or any other person, or to require Company first to exhaust any remedies against Seller or any other person, before proceeding against Guarantor </w:t>
      </w:r>
      <w:proofErr w:type="gramStart"/>
      <w:r>
        <w:rPr>
          <w:rFonts w:cs="Arial"/>
        </w:rPr>
        <w:t>hereunder;</w:t>
      </w:r>
      <w:proofErr w:type="gramEnd"/>
    </w:p>
    <w:p w14:paraId="67A1051C" w14:textId="77777777" w:rsidR="00B63F33" w:rsidRDefault="00B63F33">
      <w:pPr>
        <w:spacing w:after="240"/>
        <w:ind w:firstLine="1440"/>
        <w:jc w:val="both"/>
        <w:rPr>
          <w:rFonts w:cs="Arial"/>
        </w:rPr>
      </w:pPr>
      <w:r>
        <w:rPr>
          <w:rFonts w:cs="Arial"/>
        </w:rPr>
        <w:t>(c)</w:t>
      </w:r>
      <w:r>
        <w:rPr>
          <w:rFonts w:cs="Arial"/>
        </w:rPr>
        <w:tab/>
        <w:t xml:space="preserve">any defense based upon an election of remedies by </w:t>
      </w:r>
      <w:proofErr w:type="gramStart"/>
      <w:r>
        <w:rPr>
          <w:rFonts w:cs="Arial"/>
        </w:rPr>
        <w:t>Company;</w:t>
      </w:r>
      <w:proofErr w:type="gramEnd"/>
    </w:p>
    <w:p w14:paraId="274DEDCC" w14:textId="77777777" w:rsidR="00B63F33" w:rsidRDefault="00B63F33">
      <w:pPr>
        <w:spacing w:after="240"/>
        <w:ind w:firstLine="1440"/>
        <w:jc w:val="both"/>
        <w:rPr>
          <w:rFonts w:cs="Arial"/>
        </w:rPr>
      </w:pPr>
      <w:r>
        <w:rPr>
          <w:rFonts w:cs="Arial"/>
        </w:rPr>
        <w:t>(d)</w:t>
      </w:r>
      <w:r>
        <w:rPr>
          <w:rFonts w:cs="Arial"/>
        </w:rPr>
        <w:tab/>
        <w:t xml:space="preserve">any duty of Company to protect or not impair any security for the </w:t>
      </w:r>
      <w:proofErr w:type="gramStart"/>
      <w:r>
        <w:rPr>
          <w:rFonts w:cs="Arial"/>
        </w:rPr>
        <w:t>Obligations;</w:t>
      </w:r>
      <w:proofErr w:type="gramEnd"/>
    </w:p>
    <w:p w14:paraId="73A870CA" w14:textId="77777777" w:rsidR="00B63F33" w:rsidRDefault="00B63F33">
      <w:pPr>
        <w:spacing w:after="240"/>
        <w:ind w:firstLine="1440"/>
        <w:jc w:val="both"/>
        <w:rPr>
          <w:rFonts w:cs="Arial"/>
        </w:rPr>
      </w:pPr>
      <w:r>
        <w:rPr>
          <w:rFonts w:cs="Arial"/>
        </w:rPr>
        <w:t>(e)</w:t>
      </w:r>
      <w:r>
        <w:rPr>
          <w:rFonts w:cs="Arial"/>
        </w:rPr>
        <w:tab/>
        <w:t xml:space="preserve">the benefit of any laws limiting the liability of a </w:t>
      </w:r>
      <w:proofErr w:type="gramStart"/>
      <w:r>
        <w:rPr>
          <w:rFonts w:cs="Arial"/>
        </w:rPr>
        <w:t>surety;</w:t>
      </w:r>
      <w:proofErr w:type="gramEnd"/>
    </w:p>
    <w:p w14:paraId="1FFBF2BD" w14:textId="77777777" w:rsidR="00B63F33" w:rsidRDefault="00B63F33">
      <w:pPr>
        <w:spacing w:after="240"/>
        <w:ind w:firstLine="1440"/>
        <w:jc w:val="both"/>
        <w:rPr>
          <w:rFonts w:cs="Arial"/>
        </w:rPr>
      </w:pPr>
      <w:r>
        <w:rPr>
          <w:rFonts w:cs="Arial"/>
        </w:rPr>
        <w:t>(f)</w:t>
      </w:r>
      <w:r>
        <w:rPr>
          <w:rFonts w:cs="Arial"/>
        </w:rPr>
        <w:tab/>
        <w:t>any duty of Company to disclose to Guarantor any facts concerning Seller, the PPA or the Facility, or any other circumstances, that would or allegedly would increase the risk to Guarantor under this Guaranty, whether now known or hereafter learned by Company, it being understood that Guarantor is capable of and assumes the responsibility for being and remaining informed as to all such facts and circumstances; and</w:t>
      </w:r>
    </w:p>
    <w:p w14:paraId="1F9C1228" w14:textId="77777777" w:rsidR="00B63F33" w:rsidRDefault="00B63F33">
      <w:pPr>
        <w:spacing w:after="240"/>
        <w:ind w:firstLine="1440"/>
        <w:jc w:val="both"/>
        <w:rPr>
          <w:rFonts w:cs="Arial"/>
        </w:rPr>
      </w:pPr>
      <w:r>
        <w:rPr>
          <w:rFonts w:cs="Arial"/>
        </w:rPr>
        <w:t>(g)</w:t>
      </w:r>
      <w:r>
        <w:rPr>
          <w:rFonts w:cs="Arial"/>
        </w:rPr>
        <w:tab/>
        <w:t>until all Obligations in Default have been fully paid and/or performed, any rights of subrogation, contribution, reimbursement, indemnification, or other rights of payment or recovery for any payment or performance by it hereunder.  For the avoidance of doubt, if any amount is paid to Guarantor in violation of this provision, such amount shall be held by Guarantor for the benefit of, and promptly paid to, Company.</w:t>
      </w:r>
    </w:p>
    <w:p w14:paraId="417145AC" w14:textId="77777777" w:rsidR="00B63F33" w:rsidRDefault="00B63F33">
      <w:pPr>
        <w:spacing w:after="240"/>
        <w:ind w:firstLine="720"/>
        <w:jc w:val="both"/>
        <w:rPr>
          <w:rFonts w:cs="Arial"/>
        </w:rPr>
      </w:pPr>
      <w:r>
        <w:rPr>
          <w:rFonts w:cs="Arial"/>
        </w:rPr>
        <w:t>8.</w:t>
      </w:r>
      <w:r>
        <w:rPr>
          <w:rFonts w:cs="Arial"/>
        </w:rPr>
        <w:tab/>
      </w:r>
      <w:r>
        <w:rPr>
          <w:rFonts w:cs="Arial"/>
          <w:u w:val="single"/>
        </w:rPr>
        <w:t>Cumulative Remedies</w:t>
      </w:r>
      <w:r>
        <w:rPr>
          <w:rFonts w:cs="Arial"/>
        </w:rPr>
        <w:t>.  The rights and remedies of Company hereunder shall be cumulative and not alternative to any other rights, powers, and remedies that Company may have at law, in equity, or under the PPA.  The obligations of Guarantor hereunder are independent of those of Seller and shall survive unaffected by the bankruptcy of Seller.  Company need not join Seller in any action against Guarantor to preserve its rights set forth herein.</w:t>
      </w:r>
    </w:p>
    <w:p w14:paraId="318AB9B7" w14:textId="77777777" w:rsidR="00B63F33" w:rsidRDefault="00B63F33">
      <w:pPr>
        <w:spacing w:after="240"/>
        <w:ind w:firstLine="720"/>
        <w:jc w:val="both"/>
        <w:rPr>
          <w:rFonts w:cs="Arial"/>
        </w:rPr>
      </w:pPr>
      <w:r>
        <w:rPr>
          <w:rFonts w:cs="Arial"/>
        </w:rPr>
        <w:t>9.</w:t>
      </w:r>
      <w:r>
        <w:rPr>
          <w:rFonts w:cs="Arial"/>
        </w:rPr>
        <w:tab/>
      </w:r>
      <w:r>
        <w:rPr>
          <w:rFonts w:cs="Arial"/>
          <w:u w:val="single"/>
        </w:rPr>
        <w:t>Representations and Warranties</w:t>
      </w:r>
      <w:r>
        <w:rPr>
          <w:rFonts w:cs="Arial"/>
        </w:rPr>
        <w:t>.  Guarantor represents and warrants to Company as follows:</w:t>
      </w:r>
    </w:p>
    <w:p w14:paraId="32038057" w14:textId="77777777" w:rsidR="00B63F33" w:rsidRDefault="00B63F33">
      <w:pPr>
        <w:spacing w:after="240"/>
        <w:ind w:firstLine="1440"/>
        <w:jc w:val="both"/>
        <w:rPr>
          <w:rFonts w:cs="Arial"/>
        </w:rPr>
      </w:pPr>
      <w:r>
        <w:rPr>
          <w:rFonts w:cs="Arial"/>
        </w:rPr>
        <w:t>(a)</w:t>
      </w:r>
      <w:r>
        <w:rPr>
          <w:rFonts w:cs="Arial"/>
        </w:rPr>
        <w:tab/>
        <w:t xml:space="preserve">Guarantor is a corporation, duly organized, validly existing, and in good standing under the laws of the state of its incorporation.  Seller is a direct or indirect </w:t>
      </w:r>
      <w:proofErr w:type="gramStart"/>
      <w:r>
        <w:rPr>
          <w:rFonts w:cs="Arial"/>
        </w:rPr>
        <w:t>wholly-owned</w:t>
      </w:r>
      <w:proofErr w:type="gramEnd"/>
      <w:r>
        <w:rPr>
          <w:rFonts w:cs="Arial"/>
        </w:rPr>
        <w:t xml:space="preserve"> subsidiary of Guarantor.  Guarantor has all necessary corporate power and authority to execute and deliver this Guaranty and to perform its obligations hereunder.</w:t>
      </w:r>
    </w:p>
    <w:p w14:paraId="4B5F61CC" w14:textId="05719C86" w:rsidR="00B63F33" w:rsidRDefault="00B63F33">
      <w:pPr>
        <w:spacing w:after="240"/>
        <w:ind w:firstLine="1440"/>
        <w:jc w:val="both"/>
        <w:rPr>
          <w:rFonts w:cs="Arial"/>
        </w:rPr>
      </w:pPr>
      <w:r>
        <w:rPr>
          <w:rFonts w:cs="Arial"/>
        </w:rPr>
        <w:t>(b)</w:t>
      </w:r>
      <w:r>
        <w:rPr>
          <w:rFonts w:cs="Arial"/>
        </w:rPr>
        <w:tab/>
        <w:t xml:space="preserve">The execution, delivery and performance of this Guaranty has been duly and validly authorized by all corporate proceedings of Guarantor and is not in violation of any law, judgment of court or government agency.  This Guaranty has been duly and validly executed and delivered by Guarantor and constitutes a legal, valid and binding obligation of Guarantor, enforceable against Guarantor </w:t>
      </w:r>
      <w:proofErr w:type="gramStart"/>
      <w:r>
        <w:rPr>
          <w:rFonts w:cs="Arial"/>
        </w:rPr>
        <w:t>in accordance with</w:t>
      </w:r>
      <w:proofErr w:type="gramEnd"/>
      <w:r>
        <w:rPr>
          <w:rFonts w:cs="Arial"/>
        </w:rPr>
        <w:t xml:space="preserve"> its terms.</w:t>
      </w:r>
    </w:p>
    <w:p w14:paraId="2537A0EF" w14:textId="296A658F" w:rsidR="00B63F33" w:rsidRDefault="00B63F33">
      <w:pPr>
        <w:spacing w:after="240"/>
        <w:ind w:firstLine="720"/>
        <w:jc w:val="both"/>
        <w:rPr>
          <w:rFonts w:cs="Arial"/>
        </w:rPr>
      </w:pPr>
      <w:r>
        <w:rPr>
          <w:rFonts w:cs="Arial"/>
        </w:rPr>
        <w:t>10.</w:t>
      </w:r>
      <w:r>
        <w:rPr>
          <w:rFonts w:cs="Arial"/>
        </w:rPr>
        <w:tab/>
      </w:r>
      <w:r>
        <w:rPr>
          <w:rFonts w:cs="Arial"/>
          <w:u w:val="single"/>
        </w:rPr>
        <w:t>Collection Costs</w:t>
      </w:r>
      <w:r>
        <w:rPr>
          <w:rFonts w:cs="Arial"/>
        </w:rPr>
        <w:t xml:space="preserve">.  Guarantor shall pay to Company, upon demand, and in addition to the maximum liability set forth in Section 2 hereof, all reasonable attorneys’ </w:t>
      </w:r>
      <w:r>
        <w:rPr>
          <w:rFonts w:cs="Arial"/>
        </w:rPr>
        <w:lastRenderedPageBreak/>
        <w:t>fees and other expenses which Company may expend or incur in enforcing the Obligations against Seller and/or enforcing this Guaranty against Guarantor, whether or not suit is filed, including all attorneys’ fees, and other expenses incurred by Company in connection with any insolvency, bankruptcy, reorganization, arrangement, or other similar proceedings involving Seller that in any way affect the exercise by Company of its rights and remedies hereunder.</w:t>
      </w:r>
    </w:p>
    <w:p w14:paraId="6225B1C9" w14:textId="77777777" w:rsidR="00B63F33" w:rsidRDefault="00B63F33">
      <w:pPr>
        <w:spacing w:after="240"/>
        <w:ind w:firstLine="720"/>
        <w:jc w:val="both"/>
        <w:rPr>
          <w:rFonts w:cs="Arial"/>
        </w:rPr>
      </w:pPr>
      <w:r>
        <w:rPr>
          <w:rFonts w:cs="Arial"/>
        </w:rPr>
        <w:t>11.</w:t>
      </w:r>
      <w:r>
        <w:rPr>
          <w:rFonts w:cs="Arial"/>
        </w:rPr>
        <w:tab/>
      </w:r>
      <w:r>
        <w:rPr>
          <w:rFonts w:cs="Arial"/>
          <w:u w:val="single"/>
        </w:rPr>
        <w:t>Severability</w:t>
      </w:r>
      <w:r>
        <w:rPr>
          <w:rFonts w:cs="Arial"/>
        </w:rPr>
        <w:t>.  Should any one or more provisions of this Guaranty be determined to be illegal or unenforceable, all other provisions nevertheless shall be effective.</w:t>
      </w:r>
    </w:p>
    <w:p w14:paraId="5B22585D" w14:textId="77777777" w:rsidR="00B63F33" w:rsidRDefault="00B63F33">
      <w:pPr>
        <w:spacing w:after="240"/>
        <w:ind w:firstLine="720"/>
        <w:jc w:val="both"/>
        <w:rPr>
          <w:rFonts w:cs="Arial"/>
        </w:rPr>
      </w:pPr>
      <w:r>
        <w:rPr>
          <w:rFonts w:cs="Arial"/>
        </w:rPr>
        <w:t>12.</w:t>
      </w:r>
      <w:r>
        <w:rPr>
          <w:rFonts w:cs="Arial"/>
        </w:rPr>
        <w:tab/>
      </w:r>
      <w:r>
        <w:rPr>
          <w:rFonts w:cs="Arial"/>
          <w:u w:val="single"/>
        </w:rPr>
        <w:t>Waiver or Amendment</w:t>
      </w:r>
      <w:r>
        <w:rPr>
          <w:rFonts w:cs="Arial"/>
        </w:rPr>
        <w:t>.  No provision of this Guaranty or right of Company hereunder can be waived, nor can Guarantor be released from Guarantor’s duties hereunder, except by a writing duly executed by Company.  This Guaranty may not be modified, amended, revised, revoked, terminated, changed, or varied in any way whatsoever except by the express terms of a writing duly executed by Company.</w:t>
      </w:r>
    </w:p>
    <w:p w14:paraId="4FA4DAA6" w14:textId="77777777" w:rsidR="00B63F33" w:rsidRDefault="00B63F33">
      <w:pPr>
        <w:spacing w:after="240"/>
        <w:ind w:firstLine="720"/>
        <w:jc w:val="both"/>
        <w:rPr>
          <w:rFonts w:cs="Arial"/>
        </w:rPr>
      </w:pPr>
      <w:r>
        <w:rPr>
          <w:rFonts w:cs="Arial"/>
        </w:rPr>
        <w:t>13.</w:t>
      </w:r>
      <w:r>
        <w:rPr>
          <w:rFonts w:cs="Arial"/>
        </w:rPr>
        <w:tab/>
      </w:r>
      <w:r>
        <w:rPr>
          <w:rFonts w:cs="Arial"/>
          <w:u w:val="single"/>
        </w:rPr>
        <w:t xml:space="preserve">Successors and </w:t>
      </w:r>
      <w:proofErr w:type="gramStart"/>
      <w:r>
        <w:rPr>
          <w:rFonts w:cs="Arial"/>
          <w:u w:val="single"/>
        </w:rPr>
        <w:t>Assigns</w:t>
      </w:r>
      <w:proofErr w:type="gramEnd"/>
      <w:r>
        <w:rPr>
          <w:rFonts w:cs="Arial"/>
        </w:rPr>
        <w:t>.  This Guaranty shall inure to the benefit of and bind the successors and assigns of Company and Guarantor.</w:t>
      </w:r>
    </w:p>
    <w:p w14:paraId="0264FD9B" w14:textId="670FEE06" w:rsidR="00B63F33" w:rsidRDefault="00B63F33">
      <w:pPr>
        <w:spacing w:after="240"/>
        <w:ind w:firstLine="720"/>
        <w:jc w:val="both"/>
        <w:rPr>
          <w:rFonts w:cs="Arial"/>
        </w:rPr>
      </w:pPr>
      <w:r>
        <w:rPr>
          <w:rFonts w:cs="Arial"/>
        </w:rPr>
        <w:t>14.</w:t>
      </w:r>
      <w:r>
        <w:rPr>
          <w:rFonts w:cs="Arial"/>
        </w:rPr>
        <w:tab/>
      </w:r>
      <w:r>
        <w:rPr>
          <w:rFonts w:cs="Arial"/>
          <w:u w:val="single"/>
        </w:rPr>
        <w:t>Governing Law</w:t>
      </w:r>
      <w:r>
        <w:rPr>
          <w:rFonts w:cs="Arial"/>
        </w:rPr>
        <w:t>.  This Guaranty shall be governed by and construed in accordance with the law of the State of [</w:t>
      </w:r>
      <w:r>
        <w:rPr>
          <w:rFonts w:cs="Arial"/>
          <w:i/>
        </w:rPr>
        <w:t>insert home state of Company</w:t>
      </w:r>
      <w:r>
        <w:rPr>
          <w:rFonts w:cs="Arial"/>
        </w:rPr>
        <w:t xml:space="preserve">] without regard to the principles of conflicts of law thereof.  Venue for any dispute hereunder shall be as </w:t>
      </w:r>
      <w:proofErr w:type="gramStart"/>
      <w:r>
        <w:rPr>
          <w:rFonts w:cs="Arial"/>
        </w:rPr>
        <w:t>set forth in</w:t>
      </w:r>
      <w:proofErr w:type="gramEnd"/>
      <w:r>
        <w:rPr>
          <w:rFonts w:cs="Arial"/>
        </w:rPr>
        <w:t xml:space="preserve"> </w:t>
      </w:r>
      <w:r w:rsidRPr="005357FF">
        <w:rPr>
          <w:rFonts w:cs="Arial"/>
          <w:u w:val="single"/>
        </w:rPr>
        <w:t xml:space="preserve">Section </w:t>
      </w:r>
      <w:r w:rsidR="00990857" w:rsidRPr="005357FF">
        <w:rPr>
          <w:rFonts w:cs="Arial"/>
          <w:u w:val="single"/>
        </w:rPr>
        <w:fldChar w:fldCharType="begin"/>
      </w:r>
      <w:r w:rsidR="00990857" w:rsidRPr="005357FF">
        <w:rPr>
          <w:rFonts w:cs="Arial"/>
          <w:u w:val="single"/>
        </w:rPr>
        <w:instrText xml:space="preserve"> REF _Ref149811907 \w \h </w:instrText>
      </w:r>
      <w:r w:rsidR="00990857">
        <w:rPr>
          <w:rFonts w:cs="Arial"/>
          <w:u w:val="single"/>
        </w:rPr>
        <w:instrText xml:space="preserve"> \* MERGEFORMAT </w:instrText>
      </w:r>
      <w:r w:rsidR="00990857" w:rsidRPr="005357FF">
        <w:rPr>
          <w:rFonts w:cs="Arial"/>
          <w:u w:val="single"/>
        </w:rPr>
      </w:r>
      <w:r w:rsidR="00990857" w:rsidRPr="005357FF">
        <w:rPr>
          <w:rFonts w:cs="Arial"/>
          <w:u w:val="single"/>
        </w:rPr>
        <w:fldChar w:fldCharType="separate"/>
      </w:r>
      <w:r w:rsidR="00990857" w:rsidRPr="005357FF">
        <w:rPr>
          <w:rFonts w:cs="Arial"/>
          <w:u w:val="single"/>
        </w:rPr>
        <w:t>13.5</w:t>
      </w:r>
      <w:r w:rsidR="00990857" w:rsidRPr="005357FF">
        <w:rPr>
          <w:rFonts w:cs="Arial"/>
          <w:u w:val="single"/>
        </w:rPr>
        <w:fldChar w:fldCharType="end"/>
      </w:r>
      <w:r>
        <w:rPr>
          <w:rFonts w:cs="Arial"/>
        </w:rPr>
        <w:t xml:space="preserve"> of the PPA.</w:t>
      </w:r>
    </w:p>
    <w:p w14:paraId="7761DAFA" w14:textId="77777777" w:rsidR="00B63F33" w:rsidRDefault="00B63F33">
      <w:pPr>
        <w:spacing w:after="240"/>
        <w:ind w:firstLine="720"/>
        <w:jc w:val="both"/>
        <w:rPr>
          <w:rFonts w:cs="Arial"/>
        </w:rPr>
      </w:pPr>
      <w:r>
        <w:rPr>
          <w:rFonts w:cs="Arial"/>
        </w:rPr>
        <w:t>15.</w:t>
      </w:r>
      <w:r>
        <w:rPr>
          <w:rFonts w:cs="Arial"/>
        </w:rPr>
        <w:tab/>
      </w:r>
      <w:r>
        <w:rPr>
          <w:rFonts w:cs="Arial"/>
          <w:u w:val="single"/>
        </w:rPr>
        <w:t>Notices</w:t>
      </w:r>
      <w:r>
        <w:rPr>
          <w:rFonts w:cs="Arial"/>
        </w:rPr>
        <w:t>.  All notices, requests, claims, demands, and other communications hereunder shall be in writing and shall be given (and shall be deemed to have been duly given upon receipt) by delivery in the manner contemplated by the PPA, addressed as follows:</w:t>
      </w:r>
    </w:p>
    <w:p w14:paraId="001AA775" w14:textId="77777777" w:rsidR="00B63F33" w:rsidRDefault="00B63F33">
      <w:pPr>
        <w:spacing w:after="240"/>
        <w:ind w:left="720"/>
        <w:jc w:val="both"/>
        <w:rPr>
          <w:rFonts w:cs="Arial"/>
        </w:rPr>
      </w:pPr>
      <w:r>
        <w:rPr>
          <w:rFonts w:cs="Arial"/>
        </w:rPr>
        <w:t>(a)</w:t>
      </w:r>
      <w:r>
        <w:rPr>
          <w:rFonts w:cs="Arial"/>
        </w:rPr>
        <w:tab/>
      </w:r>
      <w:r>
        <w:rPr>
          <w:rFonts w:cs="Arial"/>
          <w:i/>
          <w:u w:val="single"/>
        </w:rPr>
        <w:t>if to Company</w:t>
      </w:r>
      <w:r>
        <w:rPr>
          <w:rFonts w:cs="Arial"/>
        </w:rPr>
        <w:t xml:space="preserve">:  </w:t>
      </w:r>
      <w:r>
        <w:rPr>
          <w:rFonts w:cs="Arial"/>
        </w:rPr>
        <w:tab/>
        <w:t>as provided in the PPA</w:t>
      </w:r>
    </w:p>
    <w:p w14:paraId="1996D6A6" w14:textId="77777777" w:rsidR="00B63F33" w:rsidRDefault="00B63F33">
      <w:pPr>
        <w:keepNext/>
        <w:keepLines/>
        <w:tabs>
          <w:tab w:val="left" w:pos="0"/>
        </w:tabs>
        <w:ind w:firstLine="720"/>
        <w:rPr>
          <w:rFonts w:cs="Arial"/>
        </w:rPr>
      </w:pPr>
      <w:r>
        <w:rPr>
          <w:rFonts w:cs="Arial"/>
        </w:rPr>
        <w:t>(b)</w:t>
      </w:r>
      <w:r>
        <w:rPr>
          <w:rFonts w:cs="Arial"/>
        </w:rPr>
        <w:tab/>
      </w:r>
      <w:r>
        <w:rPr>
          <w:rFonts w:cs="Arial"/>
          <w:i/>
          <w:u w:val="single"/>
        </w:rPr>
        <w:t>if to Guarantor</w:t>
      </w:r>
      <w:r>
        <w:rPr>
          <w:rFonts w:cs="Arial"/>
        </w:rPr>
        <w:t>:</w:t>
      </w:r>
      <w:r>
        <w:rPr>
          <w:rFonts w:cs="Arial"/>
        </w:rPr>
        <w:tab/>
        <w:t>__________________</w:t>
      </w:r>
    </w:p>
    <w:p w14:paraId="4AB5590D" w14:textId="77777777" w:rsidR="00B63F33" w:rsidRDefault="00B63F33">
      <w:pPr>
        <w:keepNext/>
        <w:keepLines/>
        <w:tabs>
          <w:tab w:val="left" w:pos="3600"/>
        </w:tabs>
        <w:rPr>
          <w:rFonts w:cs="Arial"/>
        </w:rPr>
      </w:pPr>
      <w:r>
        <w:rPr>
          <w:rFonts w:cs="Arial"/>
        </w:rPr>
        <w:tab/>
        <w:t>__________________</w:t>
      </w:r>
    </w:p>
    <w:p w14:paraId="2A261927" w14:textId="77777777" w:rsidR="00B63F33" w:rsidRDefault="00B63F33">
      <w:pPr>
        <w:keepNext/>
        <w:keepLines/>
        <w:tabs>
          <w:tab w:val="left" w:pos="3600"/>
        </w:tabs>
        <w:rPr>
          <w:rFonts w:cs="Arial"/>
        </w:rPr>
      </w:pPr>
      <w:r>
        <w:rPr>
          <w:rFonts w:cs="Arial"/>
        </w:rPr>
        <w:tab/>
        <w:t>__________________</w:t>
      </w:r>
    </w:p>
    <w:p w14:paraId="129FB986" w14:textId="77777777" w:rsidR="00B63F33" w:rsidRDefault="00B63F33">
      <w:pPr>
        <w:keepNext/>
        <w:keepLines/>
        <w:tabs>
          <w:tab w:val="left" w:pos="3600"/>
        </w:tabs>
        <w:rPr>
          <w:rFonts w:cs="Arial"/>
        </w:rPr>
      </w:pPr>
      <w:r>
        <w:rPr>
          <w:rFonts w:cs="Arial"/>
          <w:i/>
        </w:rPr>
        <w:tab/>
        <w:t>Attn</w:t>
      </w:r>
      <w:r>
        <w:rPr>
          <w:rFonts w:cs="Arial"/>
        </w:rPr>
        <w:t xml:space="preserve">:  </w:t>
      </w:r>
    </w:p>
    <w:p w14:paraId="149D00AE" w14:textId="77777777" w:rsidR="00B63F33" w:rsidRDefault="00B63F33">
      <w:pPr>
        <w:keepNext/>
        <w:keepLines/>
        <w:tabs>
          <w:tab w:val="left" w:pos="3600"/>
        </w:tabs>
        <w:rPr>
          <w:rFonts w:cs="Arial"/>
        </w:rPr>
      </w:pPr>
    </w:p>
    <w:p w14:paraId="662FD31F" w14:textId="77777777" w:rsidR="00B63F33" w:rsidRDefault="00B63F33">
      <w:pPr>
        <w:tabs>
          <w:tab w:val="left" w:pos="0"/>
        </w:tabs>
        <w:ind w:firstLine="720"/>
        <w:rPr>
          <w:rFonts w:cs="Arial"/>
        </w:rPr>
      </w:pPr>
      <w:r>
        <w:rPr>
          <w:rFonts w:cs="Arial"/>
          <w:i/>
        </w:rPr>
        <w:tab/>
        <w:t xml:space="preserve">      with a copy to: </w:t>
      </w:r>
      <w:r>
        <w:rPr>
          <w:rFonts w:cs="Arial"/>
        </w:rPr>
        <w:t xml:space="preserve"> </w:t>
      </w:r>
      <w:r>
        <w:rPr>
          <w:rFonts w:cs="Arial"/>
        </w:rPr>
        <w:tab/>
        <w:t>___________________</w:t>
      </w:r>
    </w:p>
    <w:p w14:paraId="53C34A24" w14:textId="77777777" w:rsidR="00B63F33" w:rsidRDefault="00B63F33">
      <w:pPr>
        <w:tabs>
          <w:tab w:val="left" w:pos="3600"/>
        </w:tabs>
        <w:rPr>
          <w:rFonts w:cs="Arial"/>
        </w:rPr>
      </w:pPr>
      <w:r>
        <w:rPr>
          <w:rFonts w:cs="Arial"/>
        </w:rPr>
        <w:tab/>
        <w:t>___________________</w:t>
      </w:r>
    </w:p>
    <w:p w14:paraId="060026EA" w14:textId="77777777" w:rsidR="00B63F33" w:rsidRDefault="00B63F33">
      <w:pPr>
        <w:tabs>
          <w:tab w:val="left" w:pos="3600"/>
        </w:tabs>
        <w:rPr>
          <w:rFonts w:cs="Arial"/>
        </w:rPr>
      </w:pPr>
      <w:r>
        <w:rPr>
          <w:rFonts w:cs="Arial"/>
        </w:rPr>
        <w:tab/>
        <w:t>___________________</w:t>
      </w:r>
    </w:p>
    <w:p w14:paraId="4EE19EB2" w14:textId="77777777" w:rsidR="00B63F33" w:rsidRDefault="00B63F33">
      <w:pPr>
        <w:tabs>
          <w:tab w:val="left" w:pos="3600"/>
        </w:tabs>
        <w:rPr>
          <w:rFonts w:cs="Arial"/>
        </w:rPr>
      </w:pPr>
      <w:r>
        <w:rPr>
          <w:rFonts w:cs="Arial"/>
          <w:i/>
        </w:rPr>
        <w:tab/>
        <w:t>Attn</w:t>
      </w:r>
      <w:r>
        <w:rPr>
          <w:rFonts w:cs="Arial"/>
        </w:rPr>
        <w:t xml:space="preserve">:  </w:t>
      </w:r>
    </w:p>
    <w:p w14:paraId="4091FBA4" w14:textId="77777777" w:rsidR="00B63F33" w:rsidRDefault="00B63F33">
      <w:pPr>
        <w:tabs>
          <w:tab w:val="left" w:pos="3600"/>
        </w:tabs>
        <w:rPr>
          <w:rFonts w:cs="Arial"/>
        </w:rPr>
      </w:pPr>
    </w:p>
    <w:p w14:paraId="3B6F8869" w14:textId="77777777" w:rsidR="00B63F33" w:rsidRDefault="00B63F33">
      <w:pPr>
        <w:spacing w:after="240"/>
        <w:jc w:val="both"/>
        <w:rPr>
          <w:rFonts w:cs="Arial"/>
        </w:rPr>
      </w:pPr>
      <w:r>
        <w:rPr>
          <w:rFonts w:cs="Arial"/>
        </w:rPr>
        <w:t>or to such other address (es) as the person to whom notice is given may have previously furnished to the others in writing in the manner set forth above.</w:t>
      </w:r>
    </w:p>
    <w:p w14:paraId="40D10913" w14:textId="77777777" w:rsidR="00B63F33" w:rsidRDefault="00B63F33">
      <w:pPr>
        <w:spacing w:after="240"/>
        <w:ind w:firstLine="720"/>
        <w:jc w:val="both"/>
        <w:rPr>
          <w:rFonts w:cs="Arial"/>
        </w:rPr>
      </w:pPr>
      <w:r>
        <w:rPr>
          <w:rFonts w:cs="Arial"/>
        </w:rPr>
        <w:t>IN WITNESS WHEREOF, Guarantor has caused this Guaranty to be duly executed and delivered to Company as of the day and year first above written.</w:t>
      </w:r>
    </w:p>
    <w:p w14:paraId="2E55EB14" w14:textId="77777777" w:rsidR="00B63F33" w:rsidRDefault="00B63F33">
      <w:pPr>
        <w:ind w:firstLine="3600"/>
        <w:rPr>
          <w:rFonts w:cs="Arial"/>
          <w:b/>
        </w:rPr>
      </w:pPr>
      <w:r>
        <w:rPr>
          <w:rFonts w:cs="Arial"/>
          <w:b/>
        </w:rPr>
        <w:lastRenderedPageBreak/>
        <w:t>[Name of Guarantor]</w:t>
      </w:r>
    </w:p>
    <w:p w14:paraId="31283B8D" w14:textId="77777777" w:rsidR="00B63F33" w:rsidRDefault="00B63F33">
      <w:pPr>
        <w:ind w:firstLine="3600"/>
        <w:rPr>
          <w:rFonts w:cs="Arial"/>
        </w:rPr>
      </w:pPr>
    </w:p>
    <w:p w14:paraId="6F816F87" w14:textId="77777777" w:rsidR="00B63F33" w:rsidRDefault="00B63F33">
      <w:pPr>
        <w:ind w:firstLine="3600"/>
        <w:rPr>
          <w:rFonts w:cs="Arial"/>
        </w:rPr>
      </w:pPr>
      <w:r>
        <w:rPr>
          <w:rFonts w:cs="Arial"/>
        </w:rPr>
        <w:t>By:</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p>
    <w:p w14:paraId="53A0900B" w14:textId="77777777" w:rsidR="00B63F33" w:rsidRDefault="00B63F33">
      <w:pPr>
        <w:ind w:left="720" w:firstLine="3600"/>
        <w:rPr>
          <w:rFonts w:cs="Arial"/>
        </w:rPr>
      </w:pPr>
      <w:r>
        <w:rPr>
          <w:rFonts w:cs="Arial"/>
        </w:rPr>
        <w:t>Name:</w:t>
      </w:r>
    </w:p>
    <w:p w14:paraId="51C2D587" w14:textId="77777777" w:rsidR="00B63F33" w:rsidRDefault="00B63F33">
      <w:pPr>
        <w:spacing w:after="240"/>
        <w:ind w:left="720" w:firstLine="3600"/>
        <w:rPr>
          <w:rFonts w:cs="Arial"/>
        </w:rPr>
      </w:pPr>
      <w:r>
        <w:rPr>
          <w:rFonts w:cs="Arial"/>
        </w:rPr>
        <w:t>Title:</w:t>
      </w:r>
    </w:p>
    <w:p w14:paraId="3A868C96" w14:textId="77777777" w:rsidR="00B63F33" w:rsidRDefault="00B63F33">
      <w:pPr>
        <w:rPr>
          <w:rFonts w:cs="Arial"/>
        </w:rPr>
      </w:pPr>
      <w:r>
        <w:rPr>
          <w:rFonts w:cs="Arial"/>
        </w:rPr>
        <w:t>STATE OF_________________</w:t>
      </w:r>
      <w:r>
        <w:rPr>
          <w:rFonts w:cs="Arial"/>
        </w:rPr>
        <w:tab/>
        <w:t>)</w:t>
      </w:r>
    </w:p>
    <w:p w14:paraId="56CC2996" w14:textId="77777777" w:rsidR="00B63F33" w:rsidRDefault="00B63F33">
      <w:pPr>
        <w:rPr>
          <w:rFonts w:cs="Arial"/>
        </w:rPr>
      </w:pPr>
      <w:r>
        <w:rPr>
          <w:rFonts w:cs="Arial"/>
        </w:rPr>
        <w:tab/>
      </w:r>
      <w:r>
        <w:rPr>
          <w:rFonts w:cs="Arial"/>
        </w:rPr>
        <w:tab/>
      </w:r>
      <w:r>
        <w:rPr>
          <w:rFonts w:cs="Arial"/>
        </w:rPr>
        <w:tab/>
      </w:r>
      <w:r>
        <w:rPr>
          <w:rFonts w:cs="Arial"/>
        </w:rPr>
        <w:tab/>
      </w:r>
      <w:r>
        <w:rPr>
          <w:rFonts w:cs="Arial"/>
        </w:rPr>
        <w:tab/>
        <w:t>)  ss.</w:t>
      </w:r>
    </w:p>
    <w:p w14:paraId="71644A30" w14:textId="77777777" w:rsidR="00B63F33" w:rsidRDefault="00B63F33">
      <w:pPr>
        <w:spacing w:after="240"/>
        <w:rPr>
          <w:rFonts w:cs="Arial"/>
        </w:rPr>
      </w:pPr>
      <w:r>
        <w:rPr>
          <w:rFonts w:cs="Arial"/>
        </w:rPr>
        <w:t>COUNTY OF ______________</w:t>
      </w:r>
      <w:r>
        <w:rPr>
          <w:rFonts w:cs="Arial"/>
        </w:rPr>
        <w:tab/>
        <w:t>)</w:t>
      </w:r>
    </w:p>
    <w:p w14:paraId="2F7F0674" w14:textId="77777777" w:rsidR="00B63F33" w:rsidRDefault="00B63F33">
      <w:pPr>
        <w:spacing w:after="240"/>
        <w:ind w:firstLine="720"/>
        <w:rPr>
          <w:rFonts w:cs="Arial"/>
        </w:rPr>
      </w:pPr>
      <w:r>
        <w:rPr>
          <w:rFonts w:cs="Arial"/>
        </w:rPr>
        <w:t>The foregoing instrument was acknowledged before me this _____ day of __________, 20__, by _____________________________, as __________________ of ____________________________.</w:t>
      </w:r>
    </w:p>
    <w:p w14:paraId="37276316" w14:textId="77777777" w:rsidR="00B63F33" w:rsidRDefault="00B63F33">
      <w:pPr>
        <w:spacing w:after="120"/>
        <w:rPr>
          <w:rFonts w:cs="Arial"/>
        </w:rPr>
      </w:pPr>
      <w:r>
        <w:rPr>
          <w:rFonts w:cs="Arial"/>
        </w:rPr>
        <w:tab/>
      </w:r>
      <w:r>
        <w:rPr>
          <w:rFonts w:cs="Arial"/>
        </w:rPr>
        <w:tab/>
      </w:r>
      <w:r>
        <w:rPr>
          <w:rFonts w:cs="Arial"/>
        </w:rPr>
        <w:tab/>
        <w:t>Witness my hand and official seal.</w:t>
      </w:r>
    </w:p>
    <w:p w14:paraId="7D111FC0" w14:textId="77777777" w:rsidR="00B63F33" w:rsidRDefault="00B63F33">
      <w:pPr>
        <w:rPr>
          <w:rFonts w:cs="Arial"/>
        </w:rPr>
      </w:pPr>
      <w:r>
        <w:rPr>
          <w:rFonts w:cs="Arial"/>
        </w:rPr>
        <w:tab/>
      </w:r>
      <w:r>
        <w:rPr>
          <w:rFonts w:cs="Arial"/>
        </w:rPr>
        <w:tab/>
        <w:t>My commission expires:</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rPr>
        <w:t>.</w:t>
      </w:r>
    </w:p>
    <w:p w14:paraId="14FC0403" w14:textId="77777777" w:rsidR="00B63F33" w:rsidRDefault="00B63F33">
      <w:pPr>
        <w:rPr>
          <w:rFonts w:cs="Arial"/>
        </w:rPr>
      </w:pPr>
    </w:p>
    <w:p w14:paraId="233292ED" w14:textId="77777777" w:rsidR="00B63F33" w:rsidRDefault="00B63F33">
      <w:pPr>
        <w:rPr>
          <w:rFonts w:cs="Arial"/>
        </w:rPr>
      </w:pPr>
    </w:p>
    <w:p w14:paraId="663B4B89" w14:textId="77777777" w:rsidR="00B63F33" w:rsidRDefault="00B63F33">
      <w:pPr>
        <w:rPr>
          <w:rFonts w:cs="Arial"/>
          <w:u w:val="single"/>
        </w:rPr>
      </w:pPr>
      <w:r>
        <w:rPr>
          <w:rFonts w:cs="Arial"/>
        </w:rPr>
        <w:t xml:space="preserve">   ( S E A L )</w:t>
      </w:r>
      <w:r>
        <w:rPr>
          <w:rFonts w:cs="Arial"/>
        </w:rPr>
        <w:tab/>
      </w:r>
      <w:r>
        <w:rPr>
          <w:rFonts w:cs="Arial"/>
        </w:rPr>
        <w:tab/>
      </w:r>
      <w:r>
        <w:rPr>
          <w:rFonts w:cs="Arial"/>
        </w:rPr>
        <w:tab/>
      </w:r>
      <w:r>
        <w:rPr>
          <w:rFonts w:cs="Arial"/>
        </w:rPr>
        <w:tab/>
      </w:r>
      <w:r>
        <w:rPr>
          <w:rFonts w:cs="Arial"/>
        </w:rPr>
        <w:tab/>
        <w:t>_______________________________</w:t>
      </w:r>
    </w:p>
    <w:p w14:paraId="0BCDC4E1" w14:textId="77777777" w:rsidR="00B63F33" w:rsidRDefault="00B63F33">
      <w:pPr>
        <w:rPr>
          <w:rFonts w:cs="Arial"/>
        </w:rPr>
      </w:pPr>
      <w:r>
        <w:rPr>
          <w:rFonts w:cs="Arial"/>
        </w:rPr>
        <w:tab/>
      </w:r>
      <w:r>
        <w:rPr>
          <w:rFonts w:cs="Arial"/>
        </w:rPr>
        <w:tab/>
      </w:r>
      <w:r>
        <w:rPr>
          <w:rFonts w:cs="Arial"/>
        </w:rPr>
        <w:tab/>
      </w:r>
      <w:r>
        <w:rPr>
          <w:rFonts w:cs="Arial"/>
        </w:rPr>
        <w:tab/>
      </w:r>
      <w:r>
        <w:rPr>
          <w:rFonts w:cs="Arial"/>
        </w:rPr>
        <w:tab/>
      </w:r>
      <w:r>
        <w:rPr>
          <w:rFonts w:cs="Arial"/>
        </w:rPr>
        <w:tab/>
      </w:r>
      <w:r>
        <w:rPr>
          <w:rFonts w:cs="Arial"/>
        </w:rPr>
        <w:tab/>
        <w:t xml:space="preserve">        Notary Public</w:t>
      </w:r>
    </w:p>
    <w:p w14:paraId="700693BF" w14:textId="77777777" w:rsidR="00B63F33" w:rsidRDefault="00B63F33">
      <w:pPr>
        <w:rPr>
          <w:rFonts w:cs="Arial"/>
        </w:rPr>
      </w:pPr>
    </w:p>
    <w:bookmarkEnd w:id="768"/>
    <w:p w14:paraId="475F0670" w14:textId="77777777" w:rsidR="00B63F33" w:rsidRDefault="00B63F33">
      <w:pPr>
        <w:rPr>
          <w:rFonts w:cs="Arial"/>
        </w:rPr>
        <w:sectPr w:rsidR="00B63F33">
          <w:headerReference w:type="even" r:id="rId77"/>
          <w:headerReference w:type="default" r:id="rId78"/>
          <w:footerReference w:type="even" r:id="rId79"/>
          <w:footerReference w:type="default" r:id="rId80"/>
          <w:headerReference w:type="first" r:id="rId81"/>
          <w:footerReference w:type="first" r:id="rId82"/>
          <w:pgSz w:w="12240" w:h="15840" w:code="1"/>
          <w:pgMar w:top="1440" w:right="1440" w:bottom="1440" w:left="1440" w:header="720" w:footer="720" w:gutter="0"/>
          <w:pgNumType w:start="1"/>
          <w:cols w:space="720"/>
        </w:sectPr>
      </w:pPr>
    </w:p>
    <w:p w14:paraId="086D4087" w14:textId="694588C1" w:rsidR="00B63F33" w:rsidRPr="00F246FE" w:rsidRDefault="004666F5" w:rsidP="005357FF">
      <w:pPr>
        <w:pStyle w:val="ExhibitTitle"/>
      </w:pPr>
      <w:bookmarkStart w:id="769" w:name="_Toc149813159"/>
      <w:bookmarkStart w:id="770" w:name="_Ref149813612"/>
      <w:bookmarkStart w:id="771" w:name="_Ref149813724"/>
      <w:bookmarkStart w:id="772" w:name="_Ref149813735"/>
      <w:bookmarkStart w:id="773" w:name="_Ref149813779"/>
      <w:bookmarkStart w:id="774" w:name="_Ref149813863"/>
      <w:bookmarkStart w:id="775" w:name="_Ref149813879"/>
      <w:bookmarkStart w:id="776" w:name="_Ref149813902"/>
      <w:bookmarkStart w:id="777" w:name="_Ref149813913"/>
      <w:bookmarkStart w:id="778" w:name="_Ref149813918"/>
      <w:bookmarkStart w:id="779" w:name="_Ref149814011"/>
      <w:bookmarkStart w:id="780" w:name="_Ref149814019"/>
      <w:bookmarkStart w:id="781" w:name="_Ref149814026"/>
      <w:bookmarkStart w:id="782" w:name="_Ref149814296"/>
      <w:bookmarkStart w:id="783" w:name="_Ref149814346"/>
      <w:bookmarkStart w:id="784" w:name="_Ref149814403"/>
      <w:bookmarkStart w:id="785" w:name="_Toc150954976"/>
      <w:r>
        <w:lastRenderedPageBreak/>
        <w:t xml:space="preserve">EXHIBIT </w:t>
      </w:r>
      <w:fldSimple w:instr=" SEQ EXHIBIT \* ALPHABETIC ">
        <w:r w:rsidR="00BC3574">
          <w:rPr>
            <w:noProof/>
          </w:rPr>
          <w:t>I</w:t>
        </w:r>
      </w:fldSimple>
      <w:r>
        <w:t xml:space="preserve"> - </w:t>
      </w:r>
      <w:r w:rsidR="00B63F33" w:rsidRPr="00F246FE">
        <w:t>AGC PROTOCOLS; DATA COLLECTION; AVAILABILITY REPORTING</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62511E08" w14:textId="7FEACA8A" w:rsidR="00B63F33" w:rsidRDefault="00B63F33">
      <w:pPr>
        <w:spacing w:after="120"/>
        <w:jc w:val="center"/>
        <w:rPr>
          <w:b/>
        </w:rPr>
      </w:pPr>
    </w:p>
    <w:p w14:paraId="5CFA1270" w14:textId="77777777" w:rsidR="00B63F33" w:rsidRDefault="00B63F33">
      <w:pPr>
        <w:spacing w:after="240"/>
        <w:jc w:val="both"/>
        <w:rPr>
          <w:b/>
          <w:u w:val="single"/>
        </w:rPr>
      </w:pPr>
      <w:r>
        <w:rPr>
          <w:b/>
          <w:u w:val="single"/>
        </w:rPr>
        <w:t>AGC Protocols</w:t>
      </w:r>
    </w:p>
    <w:p w14:paraId="00A2445C" w14:textId="4D1FCF32" w:rsidR="00B63F33" w:rsidRDefault="00B63F33">
      <w:pPr>
        <w:keepNext/>
        <w:numPr>
          <w:ilvl w:val="0"/>
          <w:numId w:val="30"/>
        </w:numPr>
        <w:spacing w:after="120"/>
        <w:jc w:val="both"/>
        <w:rPr>
          <w:b/>
          <w:bCs/>
        </w:rPr>
      </w:pPr>
      <w:r>
        <w:rPr>
          <w:b/>
          <w:bCs/>
        </w:rPr>
        <w:t>AGC communications between Company and Seller</w:t>
      </w:r>
    </w:p>
    <w:p w14:paraId="6C251F96" w14:textId="7295284A" w:rsidR="00B63F33" w:rsidRDefault="00B63F33">
      <w:pPr>
        <w:spacing w:after="240"/>
        <w:ind w:firstLine="360"/>
        <w:jc w:val="both"/>
      </w:pPr>
      <w:r>
        <w:t xml:space="preserve">Company will receive and send AGC Set-Point and related data over a secure analog or digital line.  The data points covered under this PPA, as described below, may overlap data requirements for the Transmission Authority or Company’s applicable forecasting group.  </w:t>
      </w:r>
      <w:bookmarkStart w:id="786" w:name="_Hlk49927885"/>
      <w:r>
        <w:rPr>
          <w:bCs/>
        </w:rPr>
        <w:t>Latitude and longitude coordinates for the location of the AGC communications at the facility are: [</w:t>
      </w:r>
      <w:r>
        <w:rPr>
          <w:bCs/>
          <w:highlight w:val="yellow"/>
        </w:rPr>
        <w:t>___________________________</w:t>
      </w:r>
      <w:r>
        <w:rPr>
          <w:bCs/>
        </w:rPr>
        <w:t>].</w:t>
      </w:r>
    </w:p>
    <w:bookmarkEnd w:id="786"/>
    <w:p w14:paraId="6739B71A" w14:textId="22186FBF" w:rsidR="00B63F33" w:rsidRDefault="00B63F33">
      <w:pPr>
        <w:keepNext/>
        <w:numPr>
          <w:ilvl w:val="0"/>
          <w:numId w:val="30"/>
        </w:numPr>
        <w:spacing w:after="120"/>
        <w:jc w:val="both"/>
        <w:rPr>
          <w:b/>
          <w:bCs/>
        </w:rPr>
      </w:pPr>
      <w:r>
        <w:rPr>
          <w:b/>
          <w:bCs/>
        </w:rPr>
        <w:t>AGC data points to be sent from Seller to Company via SCADA</w:t>
      </w:r>
    </w:p>
    <w:p w14:paraId="2C323E55" w14:textId="77777777" w:rsidR="00B63F33" w:rsidRDefault="00B63F33">
      <w:pPr>
        <w:spacing w:after="240"/>
        <w:ind w:firstLine="360"/>
        <w:jc w:val="both"/>
      </w:pPr>
      <w:r>
        <w:t>The following data points will be transmitted via SCADA from Seller to Company and represent Facility level data:</w:t>
      </w:r>
    </w:p>
    <w:tbl>
      <w:tblPr>
        <w:tblW w:w="5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0"/>
        <w:gridCol w:w="1463"/>
      </w:tblGrid>
      <w:tr w:rsidR="00B63F33" w14:paraId="18F551FA" w14:textId="77777777" w:rsidTr="00691098">
        <w:trPr>
          <w:trHeight w:val="315"/>
          <w:jc w:val="center"/>
        </w:trPr>
        <w:tc>
          <w:tcPr>
            <w:tcW w:w="4140" w:type="dxa"/>
            <w:shd w:val="clear" w:color="auto" w:fill="auto"/>
            <w:noWrap/>
            <w:vAlign w:val="bottom"/>
          </w:tcPr>
          <w:p w14:paraId="1E8E0D36" w14:textId="77777777" w:rsidR="00B63F33" w:rsidRDefault="00B63F33">
            <w:pPr>
              <w:spacing w:before="40" w:after="80"/>
              <w:ind w:left="259"/>
              <w:rPr>
                <w:rFonts w:ascii="Calibri" w:hAnsi="Calibri" w:cs="Arial"/>
                <w:sz w:val="22"/>
                <w:szCs w:val="22"/>
              </w:rPr>
            </w:pPr>
            <w:r>
              <w:rPr>
                <w:rFonts w:ascii="Calibri" w:hAnsi="Calibri" w:cs="Arial"/>
                <w:sz w:val="22"/>
                <w:szCs w:val="22"/>
                <w:u w:val="single"/>
              </w:rPr>
              <w:t xml:space="preserve">    Description    </w:t>
            </w:r>
            <w:r>
              <w:rPr>
                <w:rFonts w:ascii="Calibri" w:hAnsi="Calibri" w:cs="Arial"/>
                <w:sz w:val="22"/>
                <w:szCs w:val="22"/>
              </w:rPr>
              <w:tab/>
            </w:r>
          </w:p>
        </w:tc>
        <w:tc>
          <w:tcPr>
            <w:tcW w:w="1463" w:type="dxa"/>
            <w:shd w:val="clear" w:color="auto" w:fill="auto"/>
            <w:noWrap/>
            <w:vAlign w:val="bottom"/>
          </w:tcPr>
          <w:p w14:paraId="4A9D8B49" w14:textId="77777777" w:rsidR="00B63F33" w:rsidRDefault="00B63F33">
            <w:pPr>
              <w:spacing w:before="40" w:after="80"/>
              <w:jc w:val="center"/>
              <w:rPr>
                <w:rFonts w:ascii="Calibri" w:hAnsi="Calibri" w:cs="Arial"/>
                <w:sz w:val="22"/>
                <w:szCs w:val="22"/>
                <w:u w:val="single"/>
              </w:rPr>
            </w:pPr>
            <w:r>
              <w:rPr>
                <w:rFonts w:ascii="Calibri" w:hAnsi="Calibri" w:cs="Arial"/>
                <w:sz w:val="22"/>
                <w:szCs w:val="22"/>
                <w:u w:val="single"/>
              </w:rPr>
              <w:t>Units</w:t>
            </w:r>
          </w:p>
        </w:tc>
      </w:tr>
      <w:tr w:rsidR="00B63F33" w14:paraId="366391B7" w14:textId="77777777" w:rsidTr="00691098">
        <w:trPr>
          <w:trHeight w:val="435"/>
          <w:jc w:val="center"/>
        </w:trPr>
        <w:tc>
          <w:tcPr>
            <w:tcW w:w="4140" w:type="dxa"/>
            <w:shd w:val="clear" w:color="auto" w:fill="auto"/>
            <w:vAlign w:val="center"/>
          </w:tcPr>
          <w:p w14:paraId="1656B139" w14:textId="77777777" w:rsidR="00B63F33" w:rsidRDefault="00B63F33">
            <w:pPr>
              <w:ind w:left="264"/>
              <w:rPr>
                <w:rFonts w:ascii="Calibri" w:hAnsi="Calibri" w:cs="Arial"/>
                <w:sz w:val="22"/>
                <w:szCs w:val="22"/>
              </w:rPr>
            </w:pPr>
            <w:r>
              <w:rPr>
                <w:rFonts w:ascii="Calibri" w:hAnsi="Calibri" w:cs="Arial"/>
                <w:sz w:val="22"/>
                <w:szCs w:val="22"/>
              </w:rPr>
              <w:t>AGC Set-Point (echo)</w:t>
            </w:r>
          </w:p>
        </w:tc>
        <w:tc>
          <w:tcPr>
            <w:tcW w:w="1463" w:type="dxa"/>
            <w:shd w:val="clear" w:color="auto" w:fill="auto"/>
            <w:vAlign w:val="center"/>
          </w:tcPr>
          <w:p w14:paraId="16D9A38A" w14:textId="77777777" w:rsidR="00B63F33" w:rsidRDefault="00B63F33">
            <w:pPr>
              <w:jc w:val="center"/>
              <w:rPr>
                <w:rFonts w:ascii="Calibri" w:hAnsi="Calibri" w:cs="Arial"/>
                <w:sz w:val="22"/>
                <w:szCs w:val="22"/>
              </w:rPr>
            </w:pPr>
            <w:r>
              <w:rPr>
                <w:rFonts w:ascii="Calibri" w:hAnsi="Calibri" w:cs="Arial"/>
                <w:sz w:val="22"/>
                <w:szCs w:val="22"/>
              </w:rPr>
              <w:t>MW</w:t>
            </w:r>
          </w:p>
        </w:tc>
      </w:tr>
      <w:tr w:rsidR="00B63F33" w14:paraId="1E8043FF" w14:textId="77777777" w:rsidTr="00691098">
        <w:trPr>
          <w:trHeight w:val="435"/>
          <w:jc w:val="center"/>
        </w:trPr>
        <w:tc>
          <w:tcPr>
            <w:tcW w:w="4140" w:type="dxa"/>
            <w:shd w:val="clear" w:color="auto" w:fill="auto"/>
            <w:vAlign w:val="center"/>
          </w:tcPr>
          <w:p w14:paraId="24D9F63E" w14:textId="77777777" w:rsidR="00B63F33" w:rsidRDefault="00B63F33">
            <w:pPr>
              <w:ind w:left="264"/>
              <w:rPr>
                <w:rFonts w:ascii="Calibri" w:hAnsi="Calibri" w:cs="Arial"/>
                <w:sz w:val="22"/>
                <w:szCs w:val="22"/>
              </w:rPr>
            </w:pPr>
            <w:r>
              <w:rPr>
                <w:rFonts w:ascii="Calibri" w:hAnsi="Calibri" w:cs="Arial"/>
                <w:sz w:val="22"/>
                <w:szCs w:val="22"/>
              </w:rPr>
              <w:t>Actual power</w:t>
            </w:r>
          </w:p>
        </w:tc>
        <w:tc>
          <w:tcPr>
            <w:tcW w:w="1463" w:type="dxa"/>
            <w:shd w:val="clear" w:color="auto" w:fill="auto"/>
            <w:vAlign w:val="center"/>
          </w:tcPr>
          <w:p w14:paraId="58C87D6A" w14:textId="77777777" w:rsidR="00B63F33" w:rsidRDefault="00B63F33">
            <w:pPr>
              <w:jc w:val="center"/>
              <w:rPr>
                <w:rFonts w:ascii="Calibri" w:hAnsi="Calibri" w:cs="Arial"/>
                <w:sz w:val="22"/>
                <w:szCs w:val="22"/>
              </w:rPr>
            </w:pPr>
            <w:r>
              <w:rPr>
                <w:rFonts w:ascii="Calibri" w:hAnsi="Calibri" w:cs="Arial"/>
                <w:sz w:val="22"/>
                <w:szCs w:val="22"/>
              </w:rPr>
              <w:t>MW</w:t>
            </w:r>
          </w:p>
        </w:tc>
      </w:tr>
      <w:tr w:rsidR="00B63F33" w14:paraId="4522A145" w14:textId="77777777" w:rsidTr="00691098">
        <w:trPr>
          <w:trHeight w:val="435"/>
          <w:jc w:val="center"/>
        </w:trPr>
        <w:tc>
          <w:tcPr>
            <w:tcW w:w="4140" w:type="dxa"/>
            <w:shd w:val="clear" w:color="auto" w:fill="auto"/>
            <w:vAlign w:val="center"/>
          </w:tcPr>
          <w:p w14:paraId="39BD441C" w14:textId="77777777" w:rsidR="00B63F33" w:rsidRDefault="00B63F33">
            <w:pPr>
              <w:ind w:left="264"/>
              <w:rPr>
                <w:rFonts w:ascii="Calibri" w:hAnsi="Calibri" w:cs="Arial"/>
                <w:sz w:val="22"/>
                <w:szCs w:val="22"/>
              </w:rPr>
            </w:pPr>
            <w:r>
              <w:rPr>
                <w:rFonts w:ascii="Calibri" w:hAnsi="Calibri" w:cs="Arial"/>
                <w:sz w:val="22"/>
                <w:szCs w:val="22"/>
              </w:rPr>
              <w:t>Park Potential</w:t>
            </w:r>
          </w:p>
        </w:tc>
        <w:tc>
          <w:tcPr>
            <w:tcW w:w="1463" w:type="dxa"/>
            <w:shd w:val="clear" w:color="auto" w:fill="auto"/>
            <w:vAlign w:val="center"/>
          </w:tcPr>
          <w:p w14:paraId="2CEAC209" w14:textId="77777777" w:rsidR="00B63F33" w:rsidRDefault="00B63F33">
            <w:pPr>
              <w:jc w:val="center"/>
              <w:rPr>
                <w:rFonts w:ascii="Calibri" w:hAnsi="Calibri" w:cs="Arial"/>
                <w:sz w:val="22"/>
                <w:szCs w:val="22"/>
              </w:rPr>
            </w:pPr>
            <w:r>
              <w:rPr>
                <w:rFonts w:ascii="Calibri" w:hAnsi="Calibri" w:cs="Arial"/>
                <w:sz w:val="22"/>
                <w:szCs w:val="22"/>
              </w:rPr>
              <w:t>MW</w:t>
            </w:r>
          </w:p>
        </w:tc>
      </w:tr>
      <w:tr w:rsidR="00B63F33" w14:paraId="3C12FD1C" w14:textId="77777777" w:rsidTr="00691098">
        <w:trPr>
          <w:trHeight w:val="435"/>
          <w:jc w:val="center"/>
        </w:trPr>
        <w:tc>
          <w:tcPr>
            <w:tcW w:w="4140" w:type="dxa"/>
            <w:shd w:val="clear" w:color="auto" w:fill="auto"/>
            <w:vAlign w:val="center"/>
          </w:tcPr>
          <w:p w14:paraId="5C91B147" w14:textId="77777777" w:rsidR="00B63F33" w:rsidRDefault="00B63F33">
            <w:pPr>
              <w:ind w:left="264"/>
              <w:rPr>
                <w:rFonts w:ascii="Calibri" w:hAnsi="Calibri" w:cs="Arial"/>
                <w:color w:val="000000"/>
                <w:sz w:val="22"/>
                <w:szCs w:val="22"/>
              </w:rPr>
            </w:pPr>
            <w:r>
              <w:rPr>
                <w:rFonts w:ascii="Calibri" w:hAnsi="Calibri" w:cs="Arial"/>
                <w:color w:val="000000"/>
                <w:sz w:val="22"/>
                <w:szCs w:val="22"/>
              </w:rPr>
              <w:t>[</w:t>
            </w:r>
            <w:r>
              <w:rPr>
                <w:rFonts w:ascii="Calibri" w:hAnsi="Calibri" w:cs="Arial"/>
                <w:i/>
                <w:color w:val="FF0000"/>
                <w:sz w:val="22"/>
                <w:szCs w:val="22"/>
                <w:highlight w:val="yellow"/>
              </w:rPr>
              <w:t>wind only</w:t>
            </w:r>
            <w:r>
              <w:rPr>
                <w:rFonts w:ascii="Calibri" w:hAnsi="Calibri" w:cs="Arial"/>
                <w:color w:val="000000"/>
                <w:sz w:val="22"/>
                <w:szCs w:val="22"/>
              </w:rPr>
              <w:t>] Number of turbines online and running</w:t>
            </w:r>
          </w:p>
        </w:tc>
        <w:tc>
          <w:tcPr>
            <w:tcW w:w="1463" w:type="dxa"/>
            <w:shd w:val="clear" w:color="auto" w:fill="auto"/>
            <w:vAlign w:val="center"/>
          </w:tcPr>
          <w:p w14:paraId="5C4AC922" w14:textId="77777777" w:rsidR="00B63F33" w:rsidRDefault="00B63F33">
            <w:pPr>
              <w:jc w:val="center"/>
              <w:rPr>
                <w:rFonts w:ascii="Calibri" w:hAnsi="Calibri" w:cs="Arial"/>
                <w:sz w:val="22"/>
                <w:szCs w:val="22"/>
              </w:rPr>
            </w:pPr>
            <w:r>
              <w:rPr>
                <w:rFonts w:ascii="Calibri" w:hAnsi="Calibri" w:cs="Arial"/>
                <w:sz w:val="22"/>
                <w:szCs w:val="22"/>
              </w:rPr>
              <w:t>Integer</w:t>
            </w:r>
          </w:p>
        </w:tc>
      </w:tr>
      <w:tr w:rsidR="0035641D" w14:paraId="3C8CB161" w14:textId="77777777" w:rsidTr="00691098">
        <w:trPr>
          <w:trHeight w:val="435"/>
          <w:jc w:val="center"/>
        </w:trPr>
        <w:tc>
          <w:tcPr>
            <w:tcW w:w="4140" w:type="dxa"/>
            <w:shd w:val="solid" w:color="E6E6FA" w:fill="E6E6FA"/>
            <w:vAlign w:val="center"/>
          </w:tcPr>
          <w:p w14:paraId="57667673" w14:textId="7504565A" w:rsidR="0035641D" w:rsidRPr="00B30B14" w:rsidRDefault="00142692">
            <w:pPr>
              <w:ind w:left="264"/>
              <w:rPr>
                <w:rFonts w:ascii="Calibri" w:hAnsi="Calibri" w:cs="Arial"/>
                <w:color w:val="000000" w:themeColor="text1"/>
                <w:sz w:val="22"/>
                <w:szCs w:val="22"/>
              </w:rPr>
            </w:pPr>
            <w:bookmarkStart w:id="787" w:name="_cp_change_218"/>
            <w:r w:rsidRPr="00B30B14">
              <w:rPr>
                <w:rFonts w:ascii="Calibri" w:hAnsi="Calibri" w:cs="Arial"/>
                <w:color w:val="000000" w:themeColor="text1"/>
                <w:sz w:val="22"/>
                <w:szCs w:val="22"/>
              </w:rPr>
              <w:t>[</w:t>
            </w:r>
            <w:r w:rsidRPr="00B30B14">
              <w:rPr>
                <w:rFonts w:ascii="Calibri" w:hAnsi="Calibri" w:cs="Arial"/>
                <w:i/>
                <w:iCs/>
                <w:color w:val="FF0000"/>
                <w:sz w:val="22"/>
                <w:szCs w:val="22"/>
                <w:highlight w:val="yellow"/>
              </w:rPr>
              <w:t>solar only</w:t>
            </w:r>
            <w:r w:rsidRPr="00B30B14">
              <w:rPr>
                <w:rFonts w:ascii="Calibri" w:hAnsi="Calibri" w:cs="Arial"/>
                <w:color w:val="000000" w:themeColor="text1"/>
                <w:sz w:val="22"/>
                <w:szCs w:val="22"/>
                <w:highlight w:val="yellow"/>
              </w:rPr>
              <w:t>]</w:t>
            </w:r>
            <w:r w:rsidRPr="00B30B14">
              <w:rPr>
                <w:rFonts w:ascii="Calibri" w:hAnsi="Calibri" w:cs="Arial"/>
                <w:color w:val="000000" w:themeColor="text1"/>
                <w:sz w:val="22"/>
                <w:szCs w:val="22"/>
              </w:rPr>
              <w:t xml:space="preserve"> Number of inverters online</w:t>
            </w:r>
          </w:p>
        </w:tc>
        <w:tc>
          <w:tcPr>
            <w:tcW w:w="1463" w:type="dxa"/>
            <w:shd w:val="solid" w:color="E6E6FA" w:fill="E6E6FA"/>
            <w:vAlign w:val="center"/>
          </w:tcPr>
          <w:p w14:paraId="10DAFF9C" w14:textId="38C127A0" w:rsidR="0035641D" w:rsidRPr="00B30B14" w:rsidRDefault="00142692">
            <w:pPr>
              <w:jc w:val="center"/>
              <w:rPr>
                <w:rFonts w:ascii="Calibri" w:hAnsi="Calibri" w:cs="Arial"/>
                <w:color w:val="000000" w:themeColor="text1"/>
                <w:sz w:val="22"/>
                <w:szCs w:val="22"/>
              </w:rPr>
            </w:pPr>
            <w:r w:rsidRPr="00B30B14">
              <w:rPr>
                <w:rFonts w:ascii="Calibri" w:hAnsi="Calibri" w:cs="Arial"/>
                <w:color w:val="000000" w:themeColor="text1"/>
                <w:sz w:val="22"/>
                <w:szCs w:val="22"/>
              </w:rPr>
              <w:t>Integer</w:t>
            </w:r>
          </w:p>
        </w:tc>
      </w:tr>
      <w:bookmarkEnd w:id="787"/>
      <w:tr w:rsidR="00B63F33" w14:paraId="619A1793" w14:textId="77777777" w:rsidTr="00691098">
        <w:trPr>
          <w:trHeight w:val="435"/>
          <w:jc w:val="center"/>
        </w:trPr>
        <w:tc>
          <w:tcPr>
            <w:tcW w:w="4140" w:type="dxa"/>
            <w:shd w:val="clear" w:color="auto" w:fill="auto"/>
            <w:vAlign w:val="center"/>
          </w:tcPr>
          <w:p w14:paraId="3F84FA42" w14:textId="77777777" w:rsidR="00B63F33" w:rsidRDefault="00B63F33">
            <w:pPr>
              <w:ind w:left="264"/>
              <w:rPr>
                <w:rFonts w:ascii="Calibri" w:hAnsi="Calibri" w:cs="Arial"/>
                <w:color w:val="000000"/>
                <w:sz w:val="22"/>
                <w:szCs w:val="22"/>
              </w:rPr>
            </w:pPr>
            <w:r>
              <w:rPr>
                <w:rFonts w:ascii="Calibri" w:hAnsi="Calibri" w:cs="Arial"/>
                <w:color w:val="000000"/>
                <w:sz w:val="22"/>
                <w:szCs w:val="22"/>
              </w:rPr>
              <w:t>AGC Status</w:t>
            </w:r>
          </w:p>
        </w:tc>
        <w:tc>
          <w:tcPr>
            <w:tcW w:w="1463" w:type="dxa"/>
            <w:shd w:val="clear" w:color="auto" w:fill="auto"/>
            <w:vAlign w:val="center"/>
          </w:tcPr>
          <w:p w14:paraId="6B817CB5" w14:textId="77777777" w:rsidR="00B63F33" w:rsidRDefault="00B63F33">
            <w:pPr>
              <w:jc w:val="center"/>
              <w:rPr>
                <w:rFonts w:ascii="Calibri" w:hAnsi="Calibri" w:cs="Arial"/>
                <w:sz w:val="22"/>
                <w:szCs w:val="22"/>
              </w:rPr>
            </w:pPr>
            <w:r>
              <w:rPr>
                <w:rFonts w:ascii="Calibri" w:hAnsi="Calibri" w:cs="Arial"/>
                <w:sz w:val="22"/>
                <w:szCs w:val="22"/>
              </w:rPr>
              <w:t xml:space="preserve">Remote/Local </w:t>
            </w:r>
          </w:p>
        </w:tc>
      </w:tr>
    </w:tbl>
    <w:p w14:paraId="6F874AED" w14:textId="77777777" w:rsidR="00B63F33" w:rsidRDefault="00B63F33">
      <w:pPr>
        <w:jc w:val="center"/>
      </w:pPr>
    </w:p>
    <w:p w14:paraId="34524ED9" w14:textId="77777777" w:rsidR="00B63F33" w:rsidRDefault="00B63F33">
      <w:pPr>
        <w:jc w:val="center"/>
        <w:rPr>
          <w:b/>
          <w:bCs/>
          <w:sz w:val="28"/>
          <w:szCs w:val="28"/>
        </w:rPr>
      </w:pPr>
    </w:p>
    <w:p w14:paraId="54A7B246" w14:textId="77777777" w:rsidR="00B63F33" w:rsidRDefault="00B63F33">
      <w:pPr>
        <w:keepNext/>
        <w:numPr>
          <w:ilvl w:val="0"/>
          <w:numId w:val="30"/>
        </w:numPr>
        <w:spacing w:after="120"/>
        <w:jc w:val="both"/>
        <w:rPr>
          <w:b/>
          <w:bCs/>
        </w:rPr>
      </w:pPr>
      <w:r>
        <w:rPr>
          <w:b/>
          <w:bCs/>
        </w:rPr>
        <w:t xml:space="preserve">Response times and limitations of Facility </w:t>
      </w:r>
      <w:proofErr w:type="gramStart"/>
      <w:r>
        <w:rPr>
          <w:b/>
          <w:bCs/>
        </w:rPr>
        <w:t>in regard to</w:t>
      </w:r>
      <w:proofErr w:type="gramEnd"/>
      <w:r>
        <w:rPr>
          <w:b/>
          <w:bCs/>
        </w:rPr>
        <w:t xml:space="preserve"> AGC</w:t>
      </w:r>
    </w:p>
    <w:p w14:paraId="406F004C" w14:textId="77777777" w:rsidR="00B63F33" w:rsidRDefault="00B63F33">
      <w:pPr>
        <w:spacing w:after="240"/>
        <w:ind w:firstLine="360"/>
        <w:jc w:val="both"/>
      </w:pPr>
      <w:r>
        <w:t xml:space="preserve">The following protocols outline the expectations for responding to the AGC Set-Point.  Except in the case of the Frequency of Changes, these protocols will be generally bound by the manufacturers’ specifications for the equipment that Seller has chosen for the Facility. </w:t>
      </w:r>
    </w:p>
    <w:p w14:paraId="7D6B276B" w14:textId="7236116B" w:rsidR="00B63F33" w:rsidRPr="00B30B14" w:rsidRDefault="00B63F33">
      <w:pPr>
        <w:numPr>
          <w:ilvl w:val="0"/>
          <w:numId w:val="31"/>
        </w:numPr>
        <w:ind w:left="0" w:firstLine="720"/>
        <w:jc w:val="both"/>
        <w:rPr>
          <w:b/>
          <w:bCs/>
          <w:color w:val="000000" w:themeColor="text1"/>
        </w:rPr>
      </w:pPr>
      <w:r>
        <w:rPr>
          <w:bCs/>
          <w:u w:val="single"/>
        </w:rPr>
        <w:t>Allowable Variances in Excess of AGC Set-Point</w:t>
      </w:r>
      <w:r>
        <w:rPr>
          <w:bCs/>
        </w:rPr>
        <w:t xml:space="preserve">.  </w:t>
      </w:r>
      <w:r>
        <w:t xml:space="preserve">Once the Facility has reached the AGC Set-Point, there may be variances </w:t>
      </w:r>
      <w:proofErr w:type="gramStart"/>
      <w:r>
        <w:t>in excess of</w:t>
      </w:r>
      <w:proofErr w:type="gramEnd"/>
      <w:r>
        <w:t xml:space="preserve"> such set-point up to 2% on average as measured during a 10-minute period.  This is due to changing </w:t>
      </w:r>
      <w:bookmarkStart w:id="788" w:name="_cp_change_222"/>
      <w:r w:rsidRPr="00ED5A0F">
        <w:rPr>
          <w:u w:val="double" w:color="0000FF"/>
        </w:rPr>
        <w:t>[</w:t>
      </w:r>
      <w:bookmarkStart w:id="789" w:name="_cp_change_223"/>
      <w:bookmarkEnd w:id="788"/>
      <w:r w:rsidR="00ED5A0F" w:rsidRPr="00ED5A0F">
        <w:rPr>
          <w:highlight w:val="yellow"/>
        </w:rPr>
        <w:t>wind</w:t>
      </w:r>
      <w:r w:rsidR="00ED5A0F" w:rsidRPr="00ED5A0F">
        <w:rPr>
          <w:u w:val="double" w:color="0000FF"/>
        </w:rPr>
        <w:t>] [</w:t>
      </w:r>
      <w:r w:rsidRPr="00ED5A0F">
        <w:rPr>
          <w:highlight w:val="yellow"/>
          <w:u w:val="double" w:color="0000FF"/>
        </w:rPr>
        <w:t>solar</w:t>
      </w:r>
      <w:r w:rsidRPr="00ED5A0F">
        <w:rPr>
          <w:u w:val="double" w:color="0000FF"/>
        </w:rPr>
        <w:t>]</w:t>
      </w:r>
      <w:bookmarkEnd w:id="789"/>
      <w:r w:rsidRPr="00ED5A0F">
        <w:t xml:space="preserve"> </w:t>
      </w:r>
      <w:r>
        <w:t>conditions vs. the manufacturer’s specifications for responding to those new conditions.</w:t>
      </w:r>
    </w:p>
    <w:p w14:paraId="63B67092" w14:textId="77777777" w:rsidR="009B4322" w:rsidRPr="009B4322" w:rsidRDefault="009B4322" w:rsidP="009B4322">
      <w:pPr>
        <w:ind w:left="720"/>
        <w:jc w:val="both"/>
        <w:rPr>
          <w:b/>
          <w:bCs/>
          <w:color w:val="000000" w:themeColor="text1"/>
        </w:rPr>
      </w:pPr>
      <w:bookmarkStart w:id="790" w:name="_cp_change_224"/>
      <w:bookmarkStart w:id="791" w:name="_cp_change_226"/>
    </w:p>
    <w:p w14:paraId="20234BE7" w14:textId="2E21DA0A" w:rsidR="00E644D0" w:rsidRPr="00B30B14" w:rsidRDefault="00B63F33" w:rsidP="00A60BAC">
      <w:pPr>
        <w:numPr>
          <w:ilvl w:val="0"/>
          <w:numId w:val="44"/>
        </w:numPr>
        <w:ind w:left="0" w:firstLine="720"/>
        <w:jc w:val="both"/>
        <w:rPr>
          <w:b/>
          <w:bCs/>
          <w:color w:val="000000" w:themeColor="text1"/>
        </w:rPr>
      </w:pPr>
      <w:r w:rsidRPr="005357FF">
        <w:rPr>
          <w:color w:val="000000" w:themeColor="text1"/>
          <w:u w:val="single"/>
        </w:rPr>
        <w:t>A</w:t>
      </w:r>
      <w:bookmarkEnd w:id="790"/>
      <w:r w:rsidRPr="005357FF">
        <w:rPr>
          <w:color w:val="000000" w:themeColor="text1"/>
          <w:u w:val="single"/>
        </w:rPr>
        <w:t>llowable Variances in Park Potential</w:t>
      </w:r>
      <w:r w:rsidRPr="00B30B14">
        <w:rPr>
          <w:rFonts w:cs="Arial"/>
          <w:color w:val="000000" w:themeColor="text1"/>
        </w:rPr>
        <w:t xml:space="preserve">. Park Potential must remain within </w:t>
      </w:r>
      <w:r w:rsidRPr="00B30B14">
        <w:rPr>
          <w:color w:val="000000" w:themeColor="text1"/>
        </w:rPr>
        <w:t>a measured difference of plus or minus 2%, during periods when generation is not curtailed</w:t>
      </w:r>
      <w:r w:rsidRPr="00B30B14">
        <w:rPr>
          <w:rFonts w:cs="Arial"/>
          <w:color w:val="000000" w:themeColor="text1"/>
        </w:rPr>
        <w:t xml:space="preserve">. </w:t>
      </w:r>
      <w:bookmarkStart w:id="792" w:name="_cp_change_225"/>
      <w:bookmarkEnd w:id="791"/>
    </w:p>
    <w:bookmarkEnd w:id="792"/>
    <w:p w14:paraId="12D41C79" w14:textId="77777777" w:rsidR="00B63F33" w:rsidRDefault="00B63F33">
      <w:pPr>
        <w:jc w:val="both"/>
        <w:rPr>
          <w:b/>
          <w:bCs/>
        </w:rPr>
      </w:pPr>
    </w:p>
    <w:p w14:paraId="6E3C582C" w14:textId="030359E1" w:rsidR="00D062B5" w:rsidRPr="002B5D37" w:rsidRDefault="00D062B5" w:rsidP="00A60BAC">
      <w:pPr>
        <w:numPr>
          <w:ilvl w:val="0"/>
          <w:numId w:val="44"/>
        </w:numPr>
        <w:spacing w:after="240"/>
        <w:ind w:left="0" w:firstLine="720"/>
        <w:jc w:val="both"/>
      </w:pPr>
      <w:bookmarkStart w:id="793" w:name="_cp_change_227"/>
      <w:r w:rsidRPr="002B5D37">
        <w:rPr>
          <w:u w:val="single"/>
        </w:rPr>
        <w:t>Allowable Variances in Other Data Points</w:t>
      </w:r>
      <w:r>
        <w:t>.</w:t>
      </w:r>
      <w:r w:rsidR="0082612B">
        <w:t xml:space="preserve"> All data points transmitted via SCADA from Seller to Company and that represent Facility level data must remain within a measured difference of plus or minus 2%.</w:t>
      </w:r>
    </w:p>
    <w:p w14:paraId="1C0F72BE" w14:textId="77777777" w:rsidR="00D062B5" w:rsidRDefault="00D062B5" w:rsidP="002B5D37">
      <w:pPr>
        <w:pStyle w:val="ListParagraph"/>
        <w:rPr>
          <w:bCs/>
          <w:strike/>
          <w:color w:val="FF0000"/>
          <w:u w:val="single" w:color="FF0000"/>
        </w:rPr>
      </w:pPr>
    </w:p>
    <w:bookmarkEnd w:id="793"/>
    <w:p w14:paraId="6E55174F" w14:textId="682B1CC7" w:rsidR="00B63F33" w:rsidRDefault="00B63F33" w:rsidP="00A60BAC">
      <w:pPr>
        <w:numPr>
          <w:ilvl w:val="0"/>
          <w:numId w:val="44"/>
        </w:numPr>
        <w:spacing w:after="240"/>
        <w:ind w:left="0" w:firstLine="720"/>
        <w:jc w:val="both"/>
      </w:pPr>
      <w:r>
        <w:rPr>
          <w:bCs/>
          <w:u w:val="single"/>
        </w:rPr>
        <w:t>Frequency of Changes</w:t>
      </w:r>
      <w:r>
        <w:rPr>
          <w:bCs/>
        </w:rPr>
        <w:t xml:space="preserve">.  </w:t>
      </w:r>
      <w:r>
        <w:t>Company may send a new AGC Set-</w:t>
      </w:r>
      <w:r w:rsidRPr="00B30B14">
        <w:rPr>
          <w:color w:val="000000" w:themeColor="text1"/>
        </w:rPr>
        <w:t xml:space="preserve">Point to the Facility as frequently as the </w:t>
      </w:r>
      <w:bookmarkStart w:id="794" w:name="_cp_change_228"/>
      <w:r w:rsidRPr="00B30B14">
        <w:rPr>
          <w:color w:val="000000" w:themeColor="text1"/>
        </w:rPr>
        <w:t>[</w:t>
      </w:r>
      <w:bookmarkEnd w:id="794"/>
      <w:r w:rsidRPr="00B30B14">
        <w:rPr>
          <w:color w:val="000000" w:themeColor="text1"/>
          <w:highlight w:val="yellow"/>
        </w:rPr>
        <w:t>Wind Turbine</w:t>
      </w:r>
      <w:bookmarkStart w:id="795" w:name="_cp_change_229"/>
      <w:r w:rsidRPr="00B30B14">
        <w:rPr>
          <w:color w:val="000000" w:themeColor="text1"/>
        </w:rPr>
        <w:t>] [</w:t>
      </w:r>
      <w:r w:rsidRPr="00B30B14">
        <w:rPr>
          <w:color w:val="000000" w:themeColor="text1"/>
          <w:highlight w:val="yellow"/>
        </w:rPr>
        <w:t>Solar Inverters</w:t>
      </w:r>
      <w:r w:rsidRPr="00B30B14">
        <w:rPr>
          <w:color w:val="000000" w:themeColor="text1"/>
        </w:rPr>
        <w:t>]</w:t>
      </w:r>
      <w:bookmarkEnd w:id="795"/>
      <w:r w:rsidRPr="00B30B14">
        <w:rPr>
          <w:color w:val="000000" w:themeColor="text1"/>
        </w:rPr>
        <w:t xml:space="preserve"> manufacturer </w:t>
      </w:r>
      <w:r>
        <w:t>specifications allow.</w:t>
      </w:r>
    </w:p>
    <w:p w14:paraId="516C2B3B" w14:textId="3D47F09A" w:rsidR="00B63F33" w:rsidRDefault="00B63F33" w:rsidP="00A60BAC">
      <w:pPr>
        <w:numPr>
          <w:ilvl w:val="0"/>
          <w:numId w:val="44"/>
        </w:numPr>
        <w:spacing w:after="240"/>
        <w:ind w:left="0" w:firstLine="720"/>
        <w:jc w:val="both"/>
      </w:pPr>
      <w:r>
        <w:rPr>
          <w:bCs/>
          <w:u w:val="single"/>
        </w:rPr>
        <w:t>Range of AGC Set-Point</w:t>
      </w:r>
      <w:r>
        <w:rPr>
          <w:bCs/>
        </w:rPr>
        <w:t xml:space="preserve">.  </w:t>
      </w:r>
      <w:r>
        <w:t>The range of set point values can be between 0% and 100% of Park Potential.</w:t>
      </w:r>
    </w:p>
    <w:p w14:paraId="3DC36840" w14:textId="77777777" w:rsidR="00B63F33" w:rsidRDefault="00B63F33">
      <w:pPr>
        <w:keepNext/>
        <w:numPr>
          <w:ilvl w:val="0"/>
          <w:numId w:val="30"/>
        </w:numPr>
        <w:spacing w:after="120"/>
        <w:jc w:val="both"/>
        <w:rPr>
          <w:b/>
        </w:rPr>
      </w:pPr>
      <w:r>
        <w:rPr>
          <w:b/>
        </w:rPr>
        <w:t>Backup Communications</w:t>
      </w:r>
    </w:p>
    <w:p w14:paraId="0C8335B9" w14:textId="47F653C9" w:rsidR="00B63F33" w:rsidRDefault="00B63F33">
      <w:pPr>
        <w:spacing w:after="300"/>
        <w:ind w:firstLine="360"/>
        <w:jc w:val="both"/>
        <w:outlineLvl w:val="0"/>
        <w:rPr>
          <w:rFonts w:cs="Arial"/>
          <w:bCs/>
        </w:rPr>
      </w:pPr>
      <w:bookmarkStart w:id="796" w:name="_Toc433954239"/>
      <w:proofErr w:type="gramStart"/>
      <w:r>
        <w:rPr>
          <w:rFonts w:cs="Arial"/>
          <w:bCs/>
        </w:rPr>
        <w:t>In the event of</w:t>
      </w:r>
      <w:proofErr w:type="gramEnd"/>
      <w:r>
        <w:rPr>
          <w:rFonts w:cs="Arial"/>
          <w:bCs/>
        </w:rPr>
        <w:t xml:space="preserve"> an AGC failure, Company and Seller shall communicate via telephone in order to correct the failure.</w:t>
      </w:r>
      <w:bookmarkEnd w:id="796"/>
      <w:r>
        <w:rPr>
          <w:rFonts w:cs="Arial"/>
          <w:bCs/>
        </w:rPr>
        <w:t xml:space="preserve"> </w:t>
      </w:r>
    </w:p>
    <w:p w14:paraId="20B09ED9" w14:textId="23ABD2BE" w:rsidR="00B63F33" w:rsidRPr="001A0376" w:rsidRDefault="00B63F33">
      <w:pPr>
        <w:keepNext/>
        <w:spacing w:after="240"/>
        <w:jc w:val="both"/>
        <w:outlineLvl w:val="0"/>
        <w:rPr>
          <w:rFonts w:cs="Arial"/>
          <w:bCs/>
          <w:i/>
        </w:rPr>
      </w:pPr>
      <w:bookmarkStart w:id="797" w:name="_Toc433954240"/>
      <w:r w:rsidRPr="001A0376">
        <w:rPr>
          <w:rFonts w:cs="Arial"/>
          <w:bCs/>
          <w:i/>
        </w:rPr>
        <w:t>[</w:t>
      </w:r>
      <w:r w:rsidRPr="001A0376">
        <w:rPr>
          <w:rFonts w:cs="Arial"/>
          <w:bCs/>
          <w:i/>
          <w:highlight w:val="yellow"/>
        </w:rPr>
        <w:t>solar</w:t>
      </w:r>
      <w:r w:rsidRPr="001A0376">
        <w:rPr>
          <w:rFonts w:cs="Arial"/>
          <w:bCs/>
          <w:i/>
        </w:rPr>
        <w:t xml:space="preserve">] </w:t>
      </w:r>
    </w:p>
    <w:p w14:paraId="32CABDDB" w14:textId="77777777" w:rsidR="00B63F33" w:rsidRDefault="00B63F33">
      <w:pPr>
        <w:keepNext/>
        <w:spacing w:after="240"/>
        <w:jc w:val="both"/>
        <w:outlineLvl w:val="0"/>
        <w:rPr>
          <w:rFonts w:cs="Arial"/>
          <w:b/>
          <w:bCs/>
          <w:u w:val="single"/>
        </w:rPr>
      </w:pPr>
      <w:r>
        <w:rPr>
          <w:rFonts w:cs="Arial"/>
          <w:b/>
          <w:bCs/>
          <w:u w:val="single"/>
        </w:rPr>
        <w:t>DATA COLLECTION</w:t>
      </w:r>
    </w:p>
    <w:p w14:paraId="26E237ED" w14:textId="6B6FB9A9" w:rsidR="00B63F33" w:rsidRDefault="00B63F33">
      <w:pPr>
        <w:tabs>
          <w:tab w:val="left" w:pos="360"/>
          <w:tab w:val="left" w:pos="1620"/>
        </w:tabs>
        <w:jc w:val="both"/>
      </w:pPr>
      <w:r>
        <w:tab/>
        <w:t xml:space="preserve">Seller shall install at least two (2) meteorological stations, spaced such that all panels of the facility are located within a 5km maximum radius from a station.  Each station shall provide the data points set forth below.  </w:t>
      </w:r>
    </w:p>
    <w:p w14:paraId="4F884FDF" w14:textId="77777777" w:rsidR="00B63F33" w:rsidRDefault="00B63F33">
      <w:pPr>
        <w:tabs>
          <w:tab w:val="left" w:pos="360"/>
          <w:tab w:val="left" w:pos="1620"/>
        </w:tabs>
        <w:jc w:val="both"/>
      </w:pPr>
    </w:p>
    <w:p w14:paraId="3B6CF082" w14:textId="24A99CB0" w:rsidR="00B63F33" w:rsidRDefault="00B63F33">
      <w:pPr>
        <w:tabs>
          <w:tab w:val="left" w:pos="360"/>
          <w:tab w:val="left" w:pos="1620"/>
        </w:tabs>
        <w:jc w:val="both"/>
      </w:pPr>
      <w:r>
        <w:tab/>
        <w:t xml:space="preserve">One meteorological station must be </w:t>
      </w:r>
      <w:proofErr w:type="gramStart"/>
      <w:r>
        <w:t>10</w:t>
      </w:r>
      <w:proofErr w:type="gramEnd"/>
      <w:r>
        <w:t xml:space="preserve"> meters in height and must be located as close to the geographic center of the Facility as possible, unshaded and unblocked by any Solar Panels. This meteorological station must measure wind speed, wind direction, ambient air temperature, back of panel temperature, barometric pressure, direct irradiance and plane of array irradiance</w:t>
      </w:r>
      <w:proofErr w:type="gramStart"/>
      <w:r>
        <w:t xml:space="preserve">.  </w:t>
      </w:r>
      <w:proofErr w:type="gramEnd"/>
    </w:p>
    <w:p w14:paraId="5D53848A" w14:textId="77777777" w:rsidR="00B63F33" w:rsidRDefault="00B63F33">
      <w:pPr>
        <w:tabs>
          <w:tab w:val="left" w:pos="720"/>
          <w:tab w:val="left" w:pos="1620"/>
        </w:tabs>
        <w:jc w:val="both"/>
      </w:pPr>
    </w:p>
    <w:p w14:paraId="68108FC0" w14:textId="1A7E5486" w:rsidR="00B63F33" w:rsidRDefault="00B63F33">
      <w:pPr>
        <w:tabs>
          <w:tab w:val="left" w:pos="360"/>
          <w:tab w:val="left" w:pos="1620"/>
        </w:tabs>
        <w:jc w:val="both"/>
      </w:pPr>
      <w:r>
        <w:tab/>
        <w:t xml:space="preserve">All other meteorological stations must measure direct irradiance, </w:t>
      </w:r>
      <w:bookmarkStart w:id="798" w:name="_cp_change_237"/>
      <w:r w:rsidRPr="00B30B14">
        <w:rPr>
          <w:color w:val="000000" w:themeColor="text1"/>
        </w:rPr>
        <w:t>plane of array</w:t>
      </w:r>
      <w:bookmarkEnd w:id="798"/>
      <w:r w:rsidRPr="00B30B14">
        <w:rPr>
          <w:color w:val="000000" w:themeColor="text1"/>
        </w:rPr>
        <w:t xml:space="preserve"> </w:t>
      </w:r>
      <w:r>
        <w:t>irradiance and back panel temperature.</w:t>
      </w:r>
    </w:p>
    <w:p w14:paraId="5E67AEFC" w14:textId="77777777" w:rsidR="00B63F33" w:rsidRDefault="00B63F33">
      <w:pPr>
        <w:tabs>
          <w:tab w:val="left" w:pos="360"/>
          <w:tab w:val="left" w:pos="1620"/>
        </w:tabs>
        <w:jc w:val="both"/>
      </w:pPr>
    </w:p>
    <w:p w14:paraId="4AB0EB83" w14:textId="7E734B1B" w:rsidR="00B63F33" w:rsidRDefault="00B63F33">
      <w:pPr>
        <w:tabs>
          <w:tab w:val="left" w:pos="360"/>
          <w:tab w:val="left" w:pos="1620"/>
        </w:tabs>
        <w:jc w:val="both"/>
      </w:pPr>
      <w:r>
        <w:tab/>
        <w:t xml:space="preserve">Each inverter shall be capable of transmitting the following data to Company: Inverter generation (kW); </w:t>
      </w:r>
      <w:r w:rsidR="006E3CE3">
        <w:t>and</w:t>
      </w:r>
      <w:r w:rsidR="0085398B">
        <w:t xml:space="preserve"> </w:t>
      </w:r>
      <w:r w:rsidR="006E3CE3">
        <w:t>Inverter</w:t>
      </w:r>
      <w:r>
        <w:t xml:space="preserve"> availability.  </w:t>
      </w:r>
    </w:p>
    <w:p w14:paraId="0047E4FF" w14:textId="77777777" w:rsidR="00B63F33" w:rsidRDefault="00B63F33">
      <w:pPr>
        <w:tabs>
          <w:tab w:val="left" w:pos="1620"/>
        </w:tabs>
        <w:ind w:firstLine="1080"/>
      </w:pPr>
    </w:p>
    <w:p w14:paraId="6128CD65" w14:textId="567EF738" w:rsidR="00B63F33" w:rsidRPr="00B30B14" w:rsidRDefault="00B63F33">
      <w:pPr>
        <w:tabs>
          <w:tab w:val="left" w:pos="360"/>
          <w:tab w:val="left" w:pos="1620"/>
        </w:tabs>
        <w:jc w:val="both"/>
        <w:rPr>
          <w:color w:val="000000" w:themeColor="text1"/>
        </w:rPr>
      </w:pPr>
      <w:r>
        <w:tab/>
        <w:t>At least two months prior to the Commercial Operation Date, Seller shall deliver to Company a report showing (i) manufacturer, model and year of all panels, inverters and meteorological instrumentation, (ii) the latitude and longitude of the center of the solar panels for every inverter and every meteorological station</w:t>
      </w:r>
      <w:bookmarkStart w:id="799" w:name="_cp_change_239"/>
      <w:r w:rsidRPr="00B30B14">
        <w:rPr>
          <w:color w:val="000000" w:themeColor="text1"/>
        </w:rPr>
        <w:t>,(iii) the locations, latitude and longitude of each pedestal,</w:t>
      </w:r>
      <w:bookmarkEnd w:id="799"/>
      <w:r w:rsidRPr="00B30B14">
        <w:rPr>
          <w:color w:val="000000" w:themeColor="text1"/>
        </w:rPr>
        <w:t xml:space="preserve"> so as to allow Company to correlate the data Company receives to each individual station and inverter</w:t>
      </w:r>
      <w:r w:rsidR="002F5BCC">
        <w:rPr>
          <w:color w:val="000000" w:themeColor="text1"/>
        </w:rPr>
        <w:t>.</w:t>
      </w:r>
    </w:p>
    <w:p w14:paraId="755C95D3" w14:textId="77777777" w:rsidR="00B63F33" w:rsidRPr="00B30B14" w:rsidRDefault="00B63F33">
      <w:pPr>
        <w:tabs>
          <w:tab w:val="left" w:pos="360"/>
          <w:tab w:val="left" w:pos="1620"/>
        </w:tabs>
        <w:jc w:val="both"/>
        <w:rPr>
          <w:color w:val="000000" w:themeColor="text1"/>
        </w:rPr>
      </w:pPr>
    </w:p>
    <w:p w14:paraId="7BECAAB9" w14:textId="19ECDD2A" w:rsidR="00B63F33" w:rsidRPr="00B30B14" w:rsidRDefault="00B63F33">
      <w:pPr>
        <w:ind w:firstLine="360"/>
        <w:jc w:val="both"/>
        <w:rPr>
          <w:color w:val="000000" w:themeColor="text1"/>
        </w:rPr>
      </w:pPr>
      <w:r w:rsidRPr="00B30B14">
        <w:rPr>
          <w:color w:val="000000" w:themeColor="text1"/>
        </w:rPr>
        <w:t xml:space="preserve">Beginning upon COD, Seller shall transmit and provide to Company from each meteorological station the real-time data set forth above, refreshed as frequently as allowed by the SCADA System, not to </w:t>
      </w:r>
      <w:r w:rsidRPr="00E41CFA">
        <w:rPr>
          <w:color w:val="000000" w:themeColor="text1"/>
        </w:rPr>
        <w:t xml:space="preserve">exceed </w:t>
      </w:r>
      <w:r w:rsidRPr="005357FF">
        <w:rPr>
          <w:color w:val="000000" w:themeColor="text1"/>
        </w:rPr>
        <w:t>sixty (60)</w:t>
      </w:r>
      <w:r w:rsidRPr="00E41CFA">
        <w:rPr>
          <w:color w:val="000000" w:themeColor="text1"/>
        </w:rPr>
        <w:t xml:space="preserve"> second intervals</w:t>
      </w:r>
      <w:r w:rsidRPr="00B30B14">
        <w:rPr>
          <w:color w:val="000000" w:themeColor="text1"/>
        </w:rPr>
        <w:t>.</w:t>
      </w:r>
    </w:p>
    <w:p w14:paraId="415E6AC7" w14:textId="77777777" w:rsidR="00B63F33" w:rsidRPr="00B30B14" w:rsidRDefault="00B63F33">
      <w:pPr>
        <w:rPr>
          <w:color w:val="000000" w:themeColor="text1"/>
        </w:rPr>
      </w:pPr>
    </w:p>
    <w:p w14:paraId="05EA96A8" w14:textId="77777777" w:rsidR="00935DC0" w:rsidRPr="00B30B14" w:rsidRDefault="00B63F33">
      <w:pPr>
        <w:spacing w:after="40"/>
        <w:ind w:firstLine="360"/>
        <w:rPr>
          <w:color w:val="000000" w:themeColor="text1"/>
        </w:rPr>
      </w:pPr>
      <w:r w:rsidRPr="00B30B14">
        <w:rPr>
          <w:color w:val="000000" w:themeColor="text1"/>
        </w:rPr>
        <w:t xml:space="preserve">Beginning upon COD, Seller shall transmit and provide to Company the following data from each inverter: </w:t>
      </w:r>
      <w:bookmarkStart w:id="800" w:name="_cp_change_240"/>
    </w:p>
    <w:p w14:paraId="4049AA3A" w14:textId="0BC1C6F1" w:rsidR="00935DC0" w:rsidRPr="00B30B14" w:rsidRDefault="00BE3826" w:rsidP="00935DC0">
      <w:pPr>
        <w:keepNext/>
        <w:spacing w:after="100"/>
        <w:ind w:left="1080"/>
        <w:jc w:val="both"/>
        <w:rPr>
          <w:color w:val="000000" w:themeColor="text1"/>
        </w:rPr>
      </w:pPr>
      <w:bookmarkStart w:id="801" w:name="_cp_change_242"/>
      <w:bookmarkEnd w:id="800"/>
      <w:r w:rsidRPr="005357FF">
        <w:rPr>
          <w:color w:val="000000" w:themeColor="text1"/>
          <w:u w:val="single"/>
        </w:rPr>
        <w:lastRenderedPageBreak/>
        <w:t>Six data points from each Inverter</w:t>
      </w:r>
      <w:r w:rsidRPr="00B30B14">
        <w:rPr>
          <w:bCs/>
          <w:color w:val="000000" w:themeColor="text1"/>
        </w:rPr>
        <w:t xml:space="preserve">: </w:t>
      </w:r>
      <w:bookmarkStart w:id="802" w:name="_cp_change_241"/>
      <w:bookmarkEnd w:id="801"/>
    </w:p>
    <w:p w14:paraId="65143AED" w14:textId="5FA4DE91" w:rsidR="00935DC0" w:rsidRDefault="00935DC0" w:rsidP="00935DC0">
      <w:pPr>
        <w:tabs>
          <w:tab w:val="left" w:pos="1620"/>
        </w:tabs>
        <w:ind w:left="1980" w:hanging="900"/>
        <w:jc w:val="both"/>
      </w:pPr>
      <w:bookmarkStart w:id="803" w:name="_cp_change_243"/>
      <w:bookmarkEnd w:id="802"/>
      <w:r w:rsidRPr="00B30B14">
        <w:rPr>
          <w:rStyle w:val="DeltaViewInsertion"/>
          <w:color w:val="000000" w:themeColor="text1"/>
          <w:u w:val="none"/>
        </w:rPr>
        <w:t>1.</w:t>
      </w:r>
      <w:r w:rsidRPr="00B30B14">
        <w:rPr>
          <w:rStyle w:val="DeltaViewInsertion"/>
          <w:color w:val="000000" w:themeColor="text1"/>
          <w:u w:val="none"/>
        </w:rPr>
        <w:tab/>
      </w:r>
      <w:bookmarkEnd w:id="803"/>
      <w:r>
        <w:rPr>
          <w:rStyle w:val="DeltaViewInsertion"/>
          <w:color w:val="auto"/>
          <w:u w:val="none"/>
        </w:rPr>
        <w:t>Inverter generation (kW)</w:t>
      </w:r>
    </w:p>
    <w:p w14:paraId="40D65701" w14:textId="77777777" w:rsidR="00627A77" w:rsidRPr="00B30B14" w:rsidRDefault="00935DC0" w:rsidP="00935DC0">
      <w:pPr>
        <w:tabs>
          <w:tab w:val="left" w:pos="1620"/>
        </w:tabs>
        <w:ind w:left="1980" w:hanging="900"/>
        <w:jc w:val="both"/>
        <w:rPr>
          <w:rStyle w:val="DeltaViewInsertion"/>
          <w:color w:val="000000" w:themeColor="text1"/>
          <w:u w:val="none"/>
        </w:rPr>
      </w:pPr>
      <w:bookmarkStart w:id="804" w:name="_cp_change_246"/>
      <w:r w:rsidRPr="00B30B14">
        <w:rPr>
          <w:rStyle w:val="DeltaViewInsertion"/>
          <w:color w:val="000000" w:themeColor="text1"/>
          <w:u w:val="none"/>
        </w:rPr>
        <w:t>2.</w:t>
      </w:r>
      <w:r w:rsidRPr="00B30B14">
        <w:rPr>
          <w:rStyle w:val="DeltaViewInsertion"/>
          <w:color w:val="000000" w:themeColor="text1"/>
          <w:u w:val="none"/>
        </w:rPr>
        <w:tab/>
        <w:t>Inverter Availability</w:t>
      </w:r>
      <w:bookmarkStart w:id="805" w:name="_cp_change_245"/>
      <w:bookmarkEnd w:id="804"/>
    </w:p>
    <w:p w14:paraId="3C60AF0E" w14:textId="03945AF1" w:rsidR="00935DC0" w:rsidRPr="00B30B14" w:rsidRDefault="00935DC0" w:rsidP="00935DC0">
      <w:pPr>
        <w:tabs>
          <w:tab w:val="left" w:pos="1620"/>
        </w:tabs>
        <w:ind w:left="1980" w:hanging="900"/>
        <w:jc w:val="both"/>
        <w:rPr>
          <w:rStyle w:val="DeltaViewInsertion"/>
          <w:color w:val="000000" w:themeColor="text1"/>
          <w:u w:val="none"/>
        </w:rPr>
      </w:pPr>
      <w:bookmarkStart w:id="806" w:name="_cp_change_248"/>
      <w:bookmarkEnd w:id="805"/>
      <w:r w:rsidRPr="00B30B14">
        <w:rPr>
          <w:rStyle w:val="DeltaViewInsertion"/>
          <w:color w:val="000000" w:themeColor="text1"/>
          <w:u w:val="none"/>
        </w:rPr>
        <w:t>3.</w:t>
      </w:r>
      <w:r w:rsidRPr="00B30B14">
        <w:rPr>
          <w:rStyle w:val="DeltaViewInsertion"/>
          <w:color w:val="000000" w:themeColor="text1"/>
          <w:u w:val="none"/>
        </w:rPr>
        <w:tab/>
        <w:t>Temperature – Back panel.</w:t>
      </w:r>
      <w:bookmarkStart w:id="807" w:name="_cp_change_247"/>
      <w:bookmarkEnd w:id="806"/>
    </w:p>
    <w:p w14:paraId="6428937C" w14:textId="3B3E2C7E" w:rsidR="00935DC0" w:rsidRPr="00B30B14" w:rsidRDefault="00935DC0" w:rsidP="00935DC0">
      <w:pPr>
        <w:tabs>
          <w:tab w:val="left" w:pos="1620"/>
        </w:tabs>
        <w:ind w:left="1980" w:hanging="900"/>
        <w:jc w:val="both"/>
        <w:rPr>
          <w:rStyle w:val="DeltaViewInsertion"/>
          <w:color w:val="000000" w:themeColor="text1"/>
          <w:u w:val="none"/>
        </w:rPr>
      </w:pPr>
      <w:bookmarkStart w:id="808" w:name="_cp_change_250"/>
      <w:bookmarkEnd w:id="807"/>
      <w:r w:rsidRPr="00B30B14">
        <w:rPr>
          <w:rStyle w:val="DeltaViewInsertion"/>
          <w:color w:val="000000" w:themeColor="text1"/>
          <w:u w:val="none"/>
        </w:rPr>
        <w:t>4.</w:t>
      </w:r>
      <w:r w:rsidRPr="00B30B14">
        <w:rPr>
          <w:rStyle w:val="DeltaViewInsertion"/>
          <w:color w:val="000000" w:themeColor="text1"/>
          <w:u w:val="none"/>
        </w:rPr>
        <w:tab/>
        <w:t>Temperature – Inverter (Celsius)</w:t>
      </w:r>
      <w:bookmarkStart w:id="809" w:name="_cp_change_249"/>
      <w:bookmarkEnd w:id="808"/>
    </w:p>
    <w:p w14:paraId="03AEEF5E" w14:textId="7B0CBCDF" w:rsidR="00935DC0" w:rsidRPr="00B30B14" w:rsidRDefault="00935DC0" w:rsidP="00935DC0">
      <w:pPr>
        <w:tabs>
          <w:tab w:val="left" w:pos="1620"/>
        </w:tabs>
        <w:ind w:left="1980" w:hanging="900"/>
        <w:jc w:val="both"/>
        <w:rPr>
          <w:rStyle w:val="DeltaViewInsertion"/>
          <w:color w:val="000000" w:themeColor="text1"/>
          <w:u w:val="none"/>
        </w:rPr>
      </w:pPr>
      <w:bookmarkStart w:id="810" w:name="_cp_change_252"/>
      <w:bookmarkEnd w:id="809"/>
      <w:r w:rsidRPr="00B30B14">
        <w:rPr>
          <w:rStyle w:val="DeltaViewInsertion"/>
          <w:color w:val="000000" w:themeColor="text1"/>
          <w:u w:val="none"/>
        </w:rPr>
        <w:t>5.</w:t>
      </w:r>
      <w:r w:rsidRPr="00B30B14">
        <w:rPr>
          <w:rStyle w:val="DeltaViewInsertion"/>
          <w:color w:val="000000" w:themeColor="text1"/>
          <w:u w:val="none"/>
        </w:rPr>
        <w:tab/>
        <w:t>Potential Power</w:t>
      </w:r>
      <w:bookmarkStart w:id="811" w:name="_cp_change_251"/>
      <w:bookmarkEnd w:id="810"/>
    </w:p>
    <w:p w14:paraId="5836594C" w14:textId="610ECC11" w:rsidR="00BE3826" w:rsidRPr="00B30B14" w:rsidRDefault="00BE3826" w:rsidP="00935DC0">
      <w:pPr>
        <w:tabs>
          <w:tab w:val="left" w:pos="1620"/>
        </w:tabs>
        <w:ind w:left="1980" w:hanging="900"/>
        <w:jc w:val="both"/>
        <w:rPr>
          <w:rStyle w:val="DeltaViewInsertion"/>
          <w:color w:val="000000" w:themeColor="text1"/>
          <w:u w:val="none"/>
        </w:rPr>
      </w:pPr>
      <w:bookmarkStart w:id="812" w:name="_cp_change_254"/>
      <w:bookmarkEnd w:id="811"/>
      <w:r w:rsidRPr="00B30B14">
        <w:rPr>
          <w:rStyle w:val="DeltaViewInsertion"/>
          <w:color w:val="000000" w:themeColor="text1"/>
          <w:u w:val="none"/>
        </w:rPr>
        <w:t>6.</w:t>
      </w:r>
      <w:r w:rsidRPr="00B30B14">
        <w:rPr>
          <w:rStyle w:val="DeltaViewInsertion"/>
          <w:color w:val="000000" w:themeColor="text1"/>
          <w:u w:val="none"/>
        </w:rPr>
        <w:tab/>
        <w:t>Power by Pedestal or logical location</w:t>
      </w:r>
      <w:bookmarkStart w:id="813" w:name="_cp_change_253"/>
      <w:bookmarkEnd w:id="812"/>
    </w:p>
    <w:bookmarkEnd w:id="813"/>
    <w:p w14:paraId="696A0375" w14:textId="77777777" w:rsidR="00B63F33" w:rsidRDefault="00B63F33"/>
    <w:p w14:paraId="23138988" w14:textId="0FE46BA0" w:rsidR="00B63F33" w:rsidRDefault="00B63F33">
      <w:pPr>
        <w:ind w:firstLine="360"/>
        <w:jc w:val="both"/>
        <w:rPr>
          <w:rFonts w:cs="Arial"/>
        </w:rPr>
      </w:pPr>
      <w:r>
        <w:rPr>
          <w:rFonts w:cs="Arial"/>
        </w:rPr>
        <w:t>The data stream from the meteorological stations to the Company must be transmitted to Company via a dedicated communications link that is separate from the communications link used to transmit the data from the inverters.  The data stream must be capable of being transmitted during an outage or any curtailment and must include battery back-up at the meteorological station and a local source of electricity to power the interconnectivity between the Facility and Company during such outages and curtailments.</w:t>
      </w:r>
    </w:p>
    <w:p w14:paraId="3F8FDAB5" w14:textId="77777777" w:rsidR="00B63F33" w:rsidRPr="00B30B14" w:rsidRDefault="00B63F33">
      <w:pPr>
        <w:ind w:firstLine="360"/>
        <w:jc w:val="both"/>
        <w:rPr>
          <w:rFonts w:cs="Arial"/>
          <w:color w:val="000000" w:themeColor="text1"/>
        </w:rPr>
      </w:pPr>
    </w:p>
    <w:p w14:paraId="0CC6235B" w14:textId="2EF597BD" w:rsidR="00B63F33" w:rsidRDefault="00B63F33">
      <w:pPr>
        <w:ind w:firstLine="360"/>
        <w:jc w:val="both"/>
        <w:rPr>
          <w:rFonts w:cs="Arial"/>
        </w:rPr>
      </w:pPr>
      <w:r w:rsidRPr="00B30B14">
        <w:rPr>
          <w:rFonts w:cs="Arial"/>
          <w:color w:val="000000" w:themeColor="text1"/>
        </w:rPr>
        <w:t xml:space="preserve">Seller’s system used to communicate the Facility’s real time panels, inverters, or meteorological data shall be a dedicated communication interface </w:t>
      </w:r>
      <w:bookmarkStart w:id="814" w:name="_cp_change_255"/>
      <w:r w:rsidRPr="00B30B14">
        <w:rPr>
          <w:rFonts w:cs="Arial"/>
          <w:color w:val="000000" w:themeColor="text1"/>
        </w:rPr>
        <w:t xml:space="preserve">installed on a dedicated Windows-based server, </w:t>
      </w:r>
      <w:bookmarkEnd w:id="814"/>
      <w:r w:rsidRPr="00B30B14">
        <w:rPr>
          <w:rFonts w:cs="Arial"/>
          <w:color w:val="000000" w:themeColor="text1"/>
        </w:rPr>
        <w:t>that is separate of the real time AGC data.  Such inte</w:t>
      </w:r>
      <w:r>
        <w:rPr>
          <w:rFonts w:cs="Arial"/>
        </w:rPr>
        <w:t>rface shall be either (a) PI-to-PI, (b) OPC, (c) DNP3, (d) Modbus</w:t>
      </w:r>
      <w:bookmarkStart w:id="815" w:name="_Hlk97901036"/>
      <w:r>
        <w:rPr>
          <w:rFonts w:cs="Arial"/>
        </w:rPr>
        <w:t>, or (e) such other interface approved by Company</w:t>
      </w:r>
      <w:bookmarkEnd w:id="815"/>
      <w:r>
        <w:rPr>
          <w:rFonts w:cs="Arial"/>
        </w:rPr>
        <w:t>.</w:t>
      </w:r>
    </w:p>
    <w:p w14:paraId="2847061E" w14:textId="77777777" w:rsidR="00B63F33" w:rsidRDefault="00B63F33">
      <w:pPr>
        <w:jc w:val="both"/>
      </w:pPr>
    </w:p>
    <w:p w14:paraId="47C27F3F" w14:textId="77777777" w:rsidR="00B63F33" w:rsidRDefault="00B63F33">
      <w:pPr>
        <w:keepNext/>
        <w:spacing w:after="240"/>
        <w:jc w:val="both"/>
        <w:outlineLvl w:val="0"/>
        <w:rPr>
          <w:b/>
          <w:u w:val="single"/>
        </w:rPr>
      </w:pPr>
      <w:r>
        <w:rPr>
          <w:b/>
          <w:u w:val="single"/>
        </w:rPr>
        <w:t>AVAILABILITY REPORTING REQUIREMENTS</w:t>
      </w:r>
    </w:p>
    <w:p w14:paraId="0B985F45" w14:textId="06076DE0" w:rsidR="00B63F33" w:rsidRPr="002B1839" w:rsidRDefault="003A790D">
      <w:pPr>
        <w:spacing w:after="240"/>
        <w:ind w:firstLine="360"/>
        <w:jc w:val="both"/>
      </w:pPr>
      <w:r w:rsidRPr="002B1839">
        <w:rPr>
          <w:rStyle w:val="DeltaViewInsertion"/>
          <w:color w:val="auto"/>
          <w:u w:val="none"/>
        </w:rPr>
        <w:t>Two (2) Days prior to COD, the availability reporting requirements shall go into effect.</w:t>
      </w:r>
    </w:p>
    <w:p w14:paraId="6F8B8333" w14:textId="752C84E7" w:rsidR="00B63F33" w:rsidRDefault="00B63F33">
      <w:pPr>
        <w:spacing w:after="240"/>
        <w:ind w:firstLine="360"/>
        <w:jc w:val="both"/>
      </w:pPr>
      <w:r>
        <w:rPr>
          <w:bCs/>
        </w:rPr>
        <w:t xml:space="preserve">The schedule of available generating capacity at the Facility shall be posted by 4:00 AM Mountain Prevailing Time (“MPT”) the Day prior to each </w:t>
      </w:r>
      <w:r w:rsidR="001A0376">
        <w:rPr>
          <w:bCs/>
        </w:rPr>
        <w:t>Day and</w:t>
      </w:r>
      <w:r>
        <w:rPr>
          <w:bCs/>
        </w:rPr>
        <w:t xml:space="preserve"> shall be applicable thorough the end of such Day.  For example, at 4 AM MPT on Monday, an availability schedule is required for Wednesday (midnight to midnight).  On Tuesday, the schedule for Thursday, Wednesday the schedule for Friday, and so on.  The availability schedule shall be submitted through an availability forecast system as specified by Company to Seller.  Prior to the Commercial Operation Date, Company shall provide Seller with the information necessary for Seller to access the chosen availability forecast system. </w:t>
      </w:r>
    </w:p>
    <w:p w14:paraId="56353104" w14:textId="77777777" w:rsidR="00B63F33" w:rsidRDefault="00B63F33">
      <w:pPr>
        <w:ind w:firstLine="360"/>
        <w:jc w:val="both"/>
      </w:pPr>
      <w:r>
        <w:rPr>
          <w:bCs/>
        </w:rPr>
        <w:t xml:space="preserve">If any events or circumstances reduce the forecasted availability of the Facility by 10% of Nameplate Capacity or 5 MW, whichever is lesser, such reduction shall be (1) communicated to the real-time operator via telephone with (2) immediate update to the availability schedule in the availability forecast system. </w:t>
      </w:r>
      <w:r>
        <w:t xml:space="preserve">  </w:t>
      </w:r>
    </w:p>
    <w:p w14:paraId="51A63919" w14:textId="77777777" w:rsidR="00B63F33" w:rsidRDefault="00B63F33">
      <w:pPr>
        <w:jc w:val="both"/>
      </w:pPr>
    </w:p>
    <w:p w14:paraId="70E95B55" w14:textId="77777777" w:rsidR="00B63F33" w:rsidRDefault="00B63F33">
      <w:pPr>
        <w:ind w:firstLine="360"/>
        <w:jc w:val="both"/>
      </w:pPr>
      <w:r>
        <w:t>Seller shall pay to Company any charges imposed on the Company by the Market Operator to the extent such charges result from Seller’s failure submit an accurate and/or timely forecast of available generating capacity for the Facility.</w:t>
      </w:r>
    </w:p>
    <w:p w14:paraId="4361B142" w14:textId="77777777" w:rsidR="00B63F33" w:rsidRDefault="00B63F33">
      <w:pPr>
        <w:jc w:val="both"/>
      </w:pPr>
    </w:p>
    <w:p w14:paraId="15DA01AD" w14:textId="77777777" w:rsidR="00B63F33" w:rsidRDefault="00B63F33">
      <w:pPr>
        <w:keepNext/>
        <w:spacing w:after="120"/>
        <w:jc w:val="both"/>
        <w:rPr>
          <w:b/>
          <w:u w:val="single"/>
        </w:rPr>
      </w:pPr>
      <w:r>
        <w:rPr>
          <w:b/>
          <w:u w:val="single"/>
        </w:rPr>
        <w:lastRenderedPageBreak/>
        <w:t>EQUIVALENT AVAILABILITY REPORTING FACTOR</w:t>
      </w:r>
    </w:p>
    <w:p w14:paraId="677F1560" w14:textId="77777777" w:rsidR="00B63F33" w:rsidRDefault="00B63F33">
      <w:pPr>
        <w:ind w:firstLine="360"/>
        <w:jc w:val="both"/>
      </w:pPr>
      <w:r>
        <w:t xml:space="preserve">During each Commercial Operation Year, Seller shall </w:t>
      </w:r>
      <w:bookmarkStart w:id="816" w:name="_Hlk47350133"/>
      <w:r>
        <w:t>achieve an Equivalent Availability Reporting Factor of not less than ninety percent (90%)</w:t>
      </w:r>
      <w:bookmarkEnd w:id="816"/>
      <w:r>
        <w:t>.</w:t>
      </w:r>
    </w:p>
    <w:p w14:paraId="1163E150" w14:textId="77777777" w:rsidR="00B63F33" w:rsidRDefault="00B63F33">
      <w:pPr>
        <w:jc w:val="both"/>
      </w:pPr>
    </w:p>
    <w:p w14:paraId="3FC780F2" w14:textId="77777777" w:rsidR="00B63F33" w:rsidRDefault="00B63F33">
      <w:pPr>
        <w:ind w:left="720"/>
        <w:jc w:val="both"/>
      </w:pPr>
      <w:r>
        <w:t>“Availability Reporting Percentage” means, during any given Outage, the percentage obtained by dividing the available capacity by the Nameplate Capacity of the Facility.</w:t>
      </w:r>
    </w:p>
    <w:p w14:paraId="63AA974F" w14:textId="77777777" w:rsidR="00B63F33" w:rsidRDefault="00B63F33">
      <w:pPr>
        <w:ind w:left="720"/>
        <w:jc w:val="both"/>
      </w:pPr>
    </w:p>
    <w:p w14:paraId="227B91E9" w14:textId="77777777" w:rsidR="00B63F33" w:rsidRDefault="00B63F33">
      <w:pPr>
        <w:ind w:left="720"/>
        <w:jc w:val="both"/>
      </w:pPr>
      <w:r>
        <w:t>“Equivalent Availability Reporting Factor” shall be calculated as follows: (Hours – Total Equivalent Unreported Unavailable Hours – Total Equivalent Reported Unavailable Hours) / (Hours – Total Equivalent Reported Unavailable Hours).</w:t>
      </w:r>
    </w:p>
    <w:p w14:paraId="799953CF" w14:textId="77777777" w:rsidR="00B63F33" w:rsidRDefault="00B63F33">
      <w:pPr>
        <w:ind w:left="720"/>
        <w:jc w:val="both"/>
      </w:pPr>
    </w:p>
    <w:p w14:paraId="0A3126EF" w14:textId="77777777" w:rsidR="00B63F33" w:rsidRDefault="00B63F33">
      <w:pPr>
        <w:ind w:left="720"/>
        <w:jc w:val="both"/>
      </w:pPr>
      <w:r>
        <w:t>“Equivalent Unavailable Hours” (Reported or Unreported) means, for any Outage, the product of (x) the number of hours during such Outage multiplied by (y) one minus the Availability Reporting Percentage during such Outage.</w:t>
      </w:r>
    </w:p>
    <w:p w14:paraId="1AAF66AF" w14:textId="77777777" w:rsidR="00B63F33" w:rsidRDefault="00B63F33">
      <w:pPr>
        <w:ind w:left="720"/>
        <w:jc w:val="both"/>
      </w:pPr>
    </w:p>
    <w:p w14:paraId="56030278" w14:textId="77777777" w:rsidR="00B63F33" w:rsidRDefault="00B63F33">
      <w:pPr>
        <w:ind w:left="720"/>
        <w:jc w:val="both"/>
      </w:pPr>
      <w:r>
        <w:t>“Total Equivalent Unreported Unavailable Hours” means the sum of the number of Equivalent Unavailable Hours which are not reported by Seller to Company via the Company’s availability forecast system and by telephone, if applicable, during the applicable month.</w:t>
      </w:r>
    </w:p>
    <w:p w14:paraId="4C828697" w14:textId="77777777" w:rsidR="00B63F33" w:rsidRDefault="00B63F33">
      <w:pPr>
        <w:ind w:left="720"/>
        <w:jc w:val="both"/>
      </w:pPr>
    </w:p>
    <w:p w14:paraId="46723642" w14:textId="77777777" w:rsidR="00B63F33" w:rsidRDefault="00B63F33">
      <w:pPr>
        <w:ind w:left="720"/>
        <w:jc w:val="both"/>
      </w:pPr>
      <w:r>
        <w:t>“Total Equivalent Reported Unavailable Hours” means the sum of the number of Equivalent Unavailable Hours which are reported by Seller to Company via the Company’s availability forecast system and by telephone, if applicable, during the applicable month.</w:t>
      </w:r>
    </w:p>
    <w:p w14:paraId="26984EEE" w14:textId="77777777" w:rsidR="00B63F33" w:rsidRDefault="00B63F33">
      <w:pPr>
        <w:ind w:left="720"/>
      </w:pPr>
    </w:p>
    <w:p w14:paraId="3C18C8D8" w14:textId="77777777" w:rsidR="00B63F33" w:rsidRDefault="00B63F33">
      <w:pPr>
        <w:jc w:val="both"/>
      </w:pPr>
    </w:p>
    <w:p w14:paraId="1DDDCBC8" w14:textId="77777777" w:rsidR="00B63F33" w:rsidRDefault="00B63F33">
      <w:pPr>
        <w:jc w:val="center"/>
      </w:pPr>
      <w:r>
        <w:t>*</w:t>
      </w:r>
      <w:r>
        <w:tab/>
      </w:r>
      <w:r>
        <w:tab/>
        <w:t>*</w:t>
      </w:r>
      <w:r>
        <w:tab/>
      </w:r>
      <w:r>
        <w:tab/>
        <w:t>*</w:t>
      </w:r>
      <w:r>
        <w:tab/>
      </w:r>
      <w:r>
        <w:tab/>
        <w:t>*</w:t>
      </w:r>
      <w:r>
        <w:tab/>
      </w:r>
      <w:r>
        <w:tab/>
        <w:t>*</w:t>
      </w:r>
    </w:p>
    <w:p w14:paraId="60DF6BCE" w14:textId="77777777" w:rsidR="00B63F33" w:rsidRPr="00B23F02" w:rsidRDefault="00B63F33">
      <w:pPr>
        <w:keepNext/>
        <w:spacing w:after="240"/>
        <w:jc w:val="both"/>
        <w:outlineLvl w:val="0"/>
        <w:rPr>
          <w:rFonts w:cs="Arial"/>
          <w:bCs/>
          <w:i/>
        </w:rPr>
      </w:pPr>
      <w:r w:rsidRPr="00B23F02">
        <w:rPr>
          <w:rFonts w:cs="Arial"/>
          <w:bCs/>
          <w:i/>
        </w:rPr>
        <w:t>[</w:t>
      </w:r>
      <w:r w:rsidRPr="00B23F02">
        <w:rPr>
          <w:rFonts w:cs="Arial"/>
          <w:bCs/>
          <w:i/>
          <w:highlight w:val="yellow"/>
        </w:rPr>
        <w:t>wind</w:t>
      </w:r>
      <w:r w:rsidRPr="00B23F02">
        <w:rPr>
          <w:rFonts w:cs="Arial"/>
          <w:bCs/>
          <w:i/>
        </w:rPr>
        <w:t>]</w:t>
      </w:r>
    </w:p>
    <w:p w14:paraId="7637A7DB" w14:textId="7DB4D938" w:rsidR="00B63F33" w:rsidRDefault="00B63F33">
      <w:pPr>
        <w:keepNext/>
        <w:spacing w:after="240"/>
        <w:jc w:val="both"/>
        <w:outlineLvl w:val="0"/>
        <w:rPr>
          <w:rFonts w:cs="Arial"/>
          <w:b/>
          <w:bCs/>
          <w:u w:val="single"/>
        </w:rPr>
      </w:pPr>
      <w:r>
        <w:rPr>
          <w:rFonts w:cs="Arial"/>
          <w:b/>
          <w:bCs/>
          <w:u w:val="single"/>
        </w:rPr>
        <w:t>DATA COLLECTION</w:t>
      </w:r>
      <w:bookmarkEnd w:id="797"/>
    </w:p>
    <w:p w14:paraId="502F7D96" w14:textId="235F678C" w:rsidR="00B63F33" w:rsidRDefault="00B63F33">
      <w:pPr>
        <w:spacing w:after="240"/>
        <w:ind w:firstLine="360"/>
        <w:jc w:val="both"/>
        <w:rPr>
          <w:rStyle w:val="DeltaViewInsertion"/>
          <w:color w:val="auto"/>
          <w:u w:val="none"/>
        </w:rPr>
      </w:pPr>
      <w:bookmarkStart w:id="817" w:name="_DV_DP40"/>
      <w:bookmarkStart w:id="818" w:name="_DV_IPM73"/>
      <w:bookmarkStart w:id="819" w:name="_DV_C407"/>
      <w:bookmarkEnd w:id="817"/>
      <w:bookmarkEnd w:id="818"/>
      <w:r>
        <w:rPr>
          <w:rStyle w:val="DeltaViewInsertion"/>
          <w:color w:val="auto"/>
          <w:u w:val="none"/>
        </w:rPr>
        <w:t xml:space="preserve">At least two months prior to the Commercial Operation Date, Seller will deliver to Company a report showing (i) manufacturer, model, and year of all Wind Turbines and meteorological instrumentation and (ii) the latitude, longitude and hub height at every Wind Turbine and meteorological station.  </w:t>
      </w:r>
    </w:p>
    <w:p w14:paraId="48F1B53D" w14:textId="77777777" w:rsidR="00B63F33" w:rsidRDefault="00B63F33">
      <w:pPr>
        <w:spacing w:after="240"/>
        <w:ind w:firstLine="360"/>
        <w:jc w:val="both"/>
        <w:rPr>
          <w:bCs/>
        </w:rPr>
      </w:pPr>
      <w:bookmarkStart w:id="820" w:name="_Hlk55472457"/>
      <w:r>
        <w:rPr>
          <w:rStyle w:val="DeltaViewInsertion"/>
          <w:color w:val="auto"/>
          <w:u w:val="none"/>
        </w:rPr>
        <w:t xml:space="preserve">Beginning upon COD, Seller shall </w:t>
      </w:r>
      <w:proofErr w:type="gramStart"/>
      <w:r>
        <w:rPr>
          <w:rStyle w:val="DeltaViewInsertion"/>
          <w:color w:val="auto"/>
          <w:u w:val="none"/>
        </w:rPr>
        <w:t>transmit</w:t>
      </w:r>
      <w:proofErr w:type="gramEnd"/>
      <w:r>
        <w:rPr>
          <w:rStyle w:val="DeltaViewInsertion"/>
          <w:color w:val="auto"/>
          <w:u w:val="none"/>
        </w:rPr>
        <w:t xml:space="preserve"> and provide to Company the real-time data set forth below, refreshed in approximately four-ten (4-10) second intervals with regard to its generation of Renewable Energy at the Facility:</w:t>
      </w:r>
      <w:bookmarkEnd w:id="820"/>
    </w:p>
    <w:p w14:paraId="7BC2C584" w14:textId="36B4F492" w:rsidR="00B63F33" w:rsidRDefault="004976A7">
      <w:pPr>
        <w:keepNext/>
        <w:spacing w:after="100"/>
        <w:ind w:left="1080"/>
        <w:jc w:val="both"/>
      </w:pPr>
      <w:bookmarkStart w:id="821" w:name="_cp_change_257"/>
      <w:r w:rsidRPr="00823A49">
        <w:rPr>
          <w:bCs/>
          <w:color w:val="000000" w:themeColor="text1"/>
          <w:u w:val="single"/>
        </w:rPr>
        <w:t>Six</w:t>
      </w:r>
      <w:bookmarkEnd w:id="821"/>
      <w:r w:rsidRPr="00823A49">
        <w:rPr>
          <w:bCs/>
          <w:color w:val="000000" w:themeColor="text1"/>
          <w:u w:val="single"/>
        </w:rPr>
        <w:t xml:space="preserve"> </w:t>
      </w:r>
      <w:r>
        <w:rPr>
          <w:bCs/>
          <w:u w:val="single"/>
        </w:rPr>
        <w:t>data points from each Wind Turbine</w:t>
      </w:r>
      <w:r>
        <w:rPr>
          <w:bCs/>
        </w:rPr>
        <w:t xml:space="preserve">: </w:t>
      </w:r>
    </w:p>
    <w:p w14:paraId="7A20496B" w14:textId="77777777" w:rsidR="00B63F33" w:rsidRDefault="00B63F33">
      <w:pPr>
        <w:tabs>
          <w:tab w:val="left" w:pos="1620"/>
        </w:tabs>
        <w:ind w:left="1980" w:hanging="900"/>
        <w:jc w:val="both"/>
      </w:pPr>
      <w:r>
        <w:rPr>
          <w:rStyle w:val="DeltaViewInsertion"/>
          <w:color w:val="auto"/>
          <w:u w:val="none"/>
        </w:rPr>
        <w:t>1.</w:t>
      </w:r>
      <w:r>
        <w:rPr>
          <w:rStyle w:val="DeltaViewInsertion"/>
          <w:color w:val="auto"/>
          <w:u w:val="none"/>
        </w:rPr>
        <w:tab/>
        <w:t>Turbine generation (kW)</w:t>
      </w:r>
    </w:p>
    <w:p w14:paraId="43AD8070" w14:textId="77777777" w:rsidR="00B63F33" w:rsidRDefault="00B63F33">
      <w:pPr>
        <w:tabs>
          <w:tab w:val="left" w:pos="1620"/>
        </w:tabs>
        <w:ind w:left="1980" w:hanging="900"/>
        <w:jc w:val="both"/>
      </w:pPr>
      <w:r>
        <w:rPr>
          <w:rStyle w:val="DeltaViewInsertion"/>
          <w:color w:val="auto"/>
          <w:u w:val="none"/>
        </w:rPr>
        <w:t>2.</w:t>
      </w:r>
      <w:r>
        <w:rPr>
          <w:rStyle w:val="DeltaViewInsertion"/>
          <w:color w:val="auto"/>
          <w:u w:val="none"/>
        </w:rPr>
        <w:tab/>
        <w:t xml:space="preserve">Wind Speed (meters per second - </w:t>
      </w:r>
      <w:proofErr w:type="spellStart"/>
      <w:r>
        <w:rPr>
          <w:rStyle w:val="DeltaViewInsertion"/>
          <w:color w:val="auto"/>
          <w:u w:val="none"/>
        </w:rPr>
        <w:t>mps</w:t>
      </w:r>
      <w:proofErr w:type="spellEnd"/>
      <w:r>
        <w:rPr>
          <w:rStyle w:val="DeltaViewInsertion"/>
          <w:color w:val="auto"/>
          <w:u w:val="none"/>
        </w:rPr>
        <w:t>)</w:t>
      </w:r>
    </w:p>
    <w:p w14:paraId="7225182F" w14:textId="62330C36" w:rsidR="00B63F33" w:rsidRPr="00823A49" w:rsidRDefault="00B63F33">
      <w:pPr>
        <w:tabs>
          <w:tab w:val="left" w:pos="1620"/>
        </w:tabs>
        <w:ind w:left="1980" w:hanging="900"/>
        <w:jc w:val="both"/>
        <w:rPr>
          <w:rStyle w:val="DeltaViewInsertion"/>
          <w:color w:val="000000" w:themeColor="text1"/>
          <w:u w:val="none"/>
        </w:rPr>
      </w:pPr>
      <w:r>
        <w:rPr>
          <w:rStyle w:val="DeltaViewInsertion"/>
          <w:color w:val="auto"/>
          <w:u w:val="none"/>
        </w:rPr>
        <w:t>3.</w:t>
      </w:r>
      <w:r>
        <w:rPr>
          <w:rStyle w:val="DeltaViewInsertion"/>
          <w:color w:val="auto"/>
          <w:u w:val="none"/>
        </w:rPr>
        <w:tab/>
        <w:t>Turbine Availability</w:t>
      </w:r>
      <w:bookmarkStart w:id="822" w:name="_cp_change_258"/>
      <w:r w:rsidRPr="00823A49">
        <w:rPr>
          <w:rStyle w:val="DeltaViewInsertion"/>
          <w:color w:val="000000" w:themeColor="text1"/>
          <w:u w:val="none"/>
        </w:rPr>
        <w:t xml:space="preserve"> (Status)</w:t>
      </w:r>
      <w:bookmarkEnd w:id="822"/>
    </w:p>
    <w:p w14:paraId="141DB891" w14:textId="77777777" w:rsidR="00B63F33" w:rsidRDefault="00B63F33">
      <w:pPr>
        <w:tabs>
          <w:tab w:val="left" w:pos="1620"/>
        </w:tabs>
        <w:ind w:left="1980" w:hanging="900"/>
        <w:jc w:val="both"/>
        <w:rPr>
          <w:rStyle w:val="DeltaViewInsertion"/>
          <w:color w:val="auto"/>
          <w:u w:val="none"/>
        </w:rPr>
      </w:pPr>
      <w:r>
        <w:rPr>
          <w:rStyle w:val="DeltaViewInsertion"/>
          <w:color w:val="auto"/>
          <w:u w:val="none"/>
        </w:rPr>
        <w:t>4.</w:t>
      </w:r>
      <w:r>
        <w:rPr>
          <w:rStyle w:val="DeltaViewInsertion"/>
          <w:color w:val="auto"/>
          <w:u w:val="none"/>
        </w:rPr>
        <w:tab/>
        <w:t>Wind Direction (in degrees relative to true north)</w:t>
      </w:r>
    </w:p>
    <w:p w14:paraId="533E3EF5" w14:textId="276011A9" w:rsidR="00B63F33" w:rsidRPr="00823A49" w:rsidRDefault="00B63F33">
      <w:pPr>
        <w:tabs>
          <w:tab w:val="left" w:pos="1620"/>
        </w:tabs>
        <w:ind w:left="1980" w:hanging="900"/>
        <w:jc w:val="both"/>
        <w:rPr>
          <w:rStyle w:val="DeltaViewInsertion"/>
          <w:color w:val="000000" w:themeColor="text1"/>
          <w:u w:val="none"/>
        </w:rPr>
      </w:pPr>
      <w:r>
        <w:rPr>
          <w:rStyle w:val="DeltaViewInsertion"/>
          <w:color w:val="auto"/>
          <w:u w:val="none"/>
        </w:rPr>
        <w:lastRenderedPageBreak/>
        <w:t>5.</w:t>
      </w:r>
      <w:r>
        <w:rPr>
          <w:rStyle w:val="DeltaViewInsertion"/>
          <w:color w:val="auto"/>
          <w:u w:val="none"/>
        </w:rPr>
        <w:tab/>
      </w:r>
      <w:bookmarkStart w:id="823" w:name="_cp_change_259"/>
      <w:r w:rsidRPr="00823A49">
        <w:rPr>
          <w:rStyle w:val="DeltaViewInsertion"/>
          <w:color w:val="000000" w:themeColor="text1"/>
          <w:u w:val="none"/>
        </w:rPr>
        <w:t xml:space="preserve">Ambient </w:t>
      </w:r>
      <w:bookmarkEnd w:id="823"/>
      <w:r w:rsidRPr="00823A49">
        <w:rPr>
          <w:rStyle w:val="DeltaViewInsertion"/>
          <w:color w:val="000000" w:themeColor="text1"/>
          <w:u w:val="none"/>
        </w:rPr>
        <w:t>Temperature (Celsius)</w:t>
      </w:r>
    </w:p>
    <w:p w14:paraId="0CA2BCE1" w14:textId="1EC601AC" w:rsidR="00503EA4" w:rsidRPr="00823A49" w:rsidRDefault="00503EA4">
      <w:pPr>
        <w:tabs>
          <w:tab w:val="left" w:pos="1620"/>
        </w:tabs>
        <w:ind w:left="1980" w:hanging="900"/>
        <w:jc w:val="both"/>
        <w:rPr>
          <w:rStyle w:val="DeltaViewInsertion"/>
          <w:color w:val="000000" w:themeColor="text1"/>
          <w:u w:val="none"/>
        </w:rPr>
      </w:pPr>
      <w:bookmarkStart w:id="824" w:name="_cp_change_261"/>
      <w:r w:rsidRPr="00823A49">
        <w:rPr>
          <w:rStyle w:val="DeltaViewInsertion"/>
          <w:color w:val="000000" w:themeColor="text1"/>
          <w:u w:val="none"/>
        </w:rPr>
        <w:t>6.</w:t>
      </w:r>
      <w:r w:rsidRPr="00823A49">
        <w:rPr>
          <w:rStyle w:val="DeltaViewInsertion"/>
          <w:color w:val="000000" w:themeColor="text1"/>
          <w:u w:val="none"/>
        </w:rPr>
        <w:tab/>
        <w:t>Park Potential per turbine</w:t>
      </w:r>
      <w:bookmarkStart w:id="825" w:name="_cp_change_260"/>
      <w:bookmarkEnd w:id="824"/>
    </w:p>
    <w:bookmarkEnd w:id="825"/>
    <w:p w14:paraId="76802E3A" w14:textId="77777777" w:rsidR="00EA782A" w:rsidRPr="00823A49" w:rsidRDefault="00EA782A">
      <w:pPr>
        <w:tabs>
          <w:tab w:val="left" w:pos="1620"/>
        </w:tabs>
        <w:ind w:left="1980" w:hanging="900"/>
        <w:jc w:val="both"/>
        <w:rPr>
          <w:rStyle w:val="DeltaViewInsertion"/>
          <w:color w:val="000000" w:themeColor="text1"/>
          <w:u w:val="none"/>
        </w:rPr>
      </w:pPr>
    </w:p>
    <w:p w14:paraId="16022442" w14:textId="17D08E5B" w:rsidR="00B63F33" w:rsidRPr="00823A49" w:rsidRDefault="00EA782A">
      <w:pPr>
        <w:spacing w:after="240"/>
        <w:ind w:firstLine="360"/>
        <w:jc w:val="both"/>
        <w:rPr>
          <w:bCs/>
          <w:color w:val="000000" w:themeColor="text1"/>
        </w:rPr>
      </w:pPr>
      <w:bookmarkStart w:id="826" w:name="_cp_change_263"/>
      <w:r w:rsidRPr="00823A49">
        <w:rPr>
          <w:bCs/>
          <w:color w:val="000000" w:themeColor="text1"/>
        </w:rPr>
        <w:t>In addition to the turbine data points listed above, Seller shall provide the Park Potential for the entire Facility</w:t>
      </w:r>
      <w:r w:rsidR="00591CF4">
        <w:rPr>
          <w:bCs/>
          <w:color w:val="000000" w:themeColor="text1"/>
        </w:rPr>
        <w:t>.</w:t>
      </w:r>
      <w:r w:rsidR="00296E41">
        <w:rPr>
          <w:bCs/>
          <w:color w:val="000000" w:themeColor="text1"/>
        </w:rPr>
        <w:t xml:space="preserve"> </w:t>
      </w:r>
      <w:bookmarkStart w:id="827" w:name="_cp_change_262"/>
      <w:bookmarkEnd w:id="826"/>
    </w:p>
    <w:bookmarkEnd w:id="827"/>
    <w:p w14:paraId="6B35B6FD" w14:textId="77777777" w:rsidR="00B63F33" w:rsidRDefault="00B63F33">
      <w:pPr>
        <w:spacing w:after="240"/>
        <w:ind w:firstLine="360"/>
        <w:jc w:val="both"/>
      </w:pPr>
      <w:r>
        <w:rPr>
          <w:bCs/>
        </w:rPr>
        <w:t xml:space="preserve">Seller </w:t>
      </w:r>
      <w:r>
        <w:rPr>
          <w:rStyle w:val="DeltaViewInsertion"/>
          <w:color w:val="auto"/>
          <w:u w:val="none"/>
        </w:rPr>
        <w:t>shall provide a map and key for each Wind Turbine sufficient to allow Company to correlate the data received through the PI System to each individual Wind</w:t>
      </w:r>
      <w:r>
        <w:rPr>
          <w:bCs/>
        </w:rPr>
        <w:t xml:space="preserve"> Turbine.</w:t>
      </w:r>
    </w:p>
    <w:p w14:paraId="06B9FEE6" w14:textId="26870AE4" w:rsidR="00B63F33" w:rsidRDefault="00B63F33">
      <w:pPr>
        <w:spacing w:after="240"/>
        <w:ind w:firstLine="360"/>
        <w:jc w:val="both"/>
        <w:rPr>
          <w:rFonts w:cs="Arial"/>
        </w:rPr>
      </w:pPr>
      <w:r>
        <w:rPr>
          <w:bCs/>
        </w:rPr>
        <w:t xml:space="preserve">In </w:t>
      </w:r>
      <w:r>
        <w:rPr>
          <w:rFonts w:cs="Arial"/>
        </w:rPr>
        <w:t xml:space="preserve">addition to any other requirements for data collection, Seller shall install, </w:t>
      </w:r>
      <w:proofErr w:type="gramStart"/>
      <w:r>
        <w:rPr>
          <w:rFonts w:cs="Arial"/>
        </w:rPr>
        <w:t>maintain</w:t>
      </w:r>
      <w:proofErr w:type="gramEnd"/>
      <w:r>
        <w:rPr>
          <w:rFonts w:cs="Arial"/>
        </w:rPr>
        <w:t xml:space="preserve"> and operate at least one meteorological station that is installed at hub height and is placed upstream of the prevailing wind path. </w:t>
      </w:r>
    </w:p>
    <w:p w14:paraId="2874821E" w14:textId="77777777" w:rsidR="00B63F33" w:rsidRDefault="00B63F33">
      <w:pPr>
        <w:spacing w:after="240"/>
        <w:ind w:firstLine="720"/>
        <w:jc w:val="both"/>
      </w:pPr>
      <w:r>
        <w:rPr>
          <w:rStyle w:val="DeltaViewInsertion"/>
          <w:color w:val="auto"/>
          <w:u w:val="none"/>
        </w:rPr>
        <w:t xml:space="preserve">Beginning upon COD, Seller shall </w:t>
      </w:r>
      <w:proofErr w:type="gramStart"/>
      <w:r>
        <w:rPr>
          <w:rStyle w:val="DeltaViewInsertion"/>
          <w:color w:val="auto"/>
          <w:u w:val="none"/>
        </w:rPr>
        <w:t>transmit</w:t>
      </w:r>
      <w:proofErr w:type="gramEnd"/>
      <w:r>
        <w:rPr>
          <w:rStyle w:val="DeltaViewInsertion"/>
          <w:color w:val="auto"/>
          <w:u w:val="none"/>
        </w:rPr>
        <w:t xml:space="preserve"> and provide to Company the real-time data set forth below, refreshed in approximately four-ten (4-10) second intervals with regard to its generation of Renewable Energy at the Facility:</w:t>
      </w:r>
    </w:p>
    <w:p w14:paraId="18B07418" w14:textId="77777777" w:rsidR="00B63F33" w:rsidRDefault="00B63F33">
      <w:pPr>
        <w:keepNext/>
        <w:spacing w:after="100"/>
        <w:ind w:left="1080"/>
        <w:jc w:val="both"/>
      </w:pPr>
      <w:r>
        <w:rPr>
          <w:bCs/>
          <w:u w:val="single"/>
        </w:rPr>
        <w:t>Seven data points from each Meteorological Station</w:t>
      </w:r>
      <w:r>
        <w:rPr>
          <w:bCs/>
        </w:rPr>
        <w:t xml:space="preserve">: </w:t>
      </w:r>
    </w:p>
    <w:p w14:paraId="4462833A" w14:textId="77777777" w:rsidR="00B63F33" w:rsidRDefault="00B63F33">
      <w:pPr>
        <w:tabs>
          <w:tab w:val="left" w:pos="1710"/>
        </w:tabs>
        <w:ind w:left="1714" w:hanging="634"/>
        <w:jc w:val="both"/>
      </w:pPr>
      <w:r>
        <w:rPr>
          <w:rStyle w:val="DeltaViewInsertion"/>
          <w:color w:val="auto"/>
          <w:u w:val="none"/>
        </w:rPr>
        <w:t>1.</w:t>
      </w:r>
      <w:r>
        <w:rPr>
          <w:rStyle w:val="DeltaViewInsertion"/>
          <w:color w:val="auto"/>
          <w:u w:val="none"/>
        </w:rPr>
        <w:tab/>
        <w:t xml:space="preserve">Wind Speed** </w:t>
      </w:r>
      <w:r>
        <w:rPr>
          <w:rStyle w:val="DeltaViewInsertion"/>
          <w:color w:val="auto"/>
          <w:u w:val="none"/>
        </w:rPr>
        <w:tab/>
        <w:t>(</w:t>
      </w:r>
      <w:proofErr w:type="spellStart"/>
      <w:r>
        <w:rPr>
          <w:rStyle w:val="DeltaViewInsertion"/>
          <w:color w:val="auto"/>
          <w:u w:val="none"/>
        </w:rPr>
        <w:t>mps</w:t>
      </w:r>
      <w:proofErr w:type="spellEnd"/>
      <w:r>
        <w:rPr>
          <w:rStyle w:val="DeltaViewInsertion"/>
          <w:color w:val="auto"/>
          <w:u w:val="none"/>
        </w:rPr>
        <w:t>)</w:t>
      </w:r>
    </w:p>
    <w:p w14:paraId="12511EFE" w14:textId="77777777" w:rsidR="00B63F33" w:rsidRDefault="00B63F33">
      <w:pPr>
        <w:tabs>
          <w:tab w:val="left" w:pos="1710"/>
        </w:tabs>
        <w:ind w:left="1714" w:hanging="634"/>
        <w:jc w:val="both"/>
      </w:pPr>
      <w:r>
        <w:rPr>
          <w:rStyle w:val="DeltaViewInsertion"/>
          <w:color w:val="auto"/>
          <w:u w:val="none"/>
        </w:rPr>
        <w:t>2.</w:t>
      </w:r>
      <w:r>
        <w:rPr>
          <w:rStyle w:val="DeltaViewInsertion"/>
          <w:color w:val="auto"/>
          <w:u w:val="none"/>
        </w:rPr>
        <w:tab/>
        <w:t xml:space="preserve">Wind Direction** </w:t>
      </w:r>
      <w:r>
        <w:rPr>
          <w:rStyle w:val="DeltaViewInsertion"/>
          <w:color w:val="auto"/>
          <w:u w:val="none"/>
        </w:rPr>
        <w:tab/>
        <w:t>(degrees relative to true north)</w:t>
      </w:r>
    </w:p>
    <w:p w14:paraId="4D1E9E5C" w14:textId="77777777" w:rsidR="00B63F33" w:rsidRDefault="00B63F33">
      <w:pPr>
        <w:tabs>
          <w:tab w:val="left" w:pos="1710"/>
        </w:tabs>
        <w:ind w:left="1714" w:hanging="634"/>
        <w:jc w:val="both"/>
      </w:pPr>
      <w:r>
        <w:rPr>
          <w:rStyle w:val="DeltaViewInsertion"/>
          <w:color w:val="auto"/>
          <w:u w:val="none"/>
        </w:rPr>
        <w:t>3.</w:t>
      </w:r>
      <w:r>
        <w:rPr>
          <w:rStyle w:val="DeltaViewInsertion"/>
          <w:color w:val="auto"/>
          <w:u w:val="none"/>
        </w:rPr>
        <w:tab/>
        <w:t xml:space="preserve">Temperature </w:t>
      </w:r>
      <w:r>
        <w:rPr>
          <w:rStyle w:val="DeltaViewInsertion"/>
          <w:color w:val="auto"/>
          <w:u w:val="none"/>
        </w:rPr>
        <w:tab/>
        <w:t>(Celsius)</w:t>
      </w:r>
    </w:p>
    <w:p w14:paraId="2AAE1015" w14:textId="77777777" w:rsidR="00B63F33" w:rsidRDefault="00B63F33">
      <w:pPr>
        <w:tabs>
          <w:tab w:val="left" w:pos="1710"/>
        </w:tabs>
        <w:ind w:left="1714" w:hanging="634"/>
        <w:jc w:val="both"/>
      </w:pPr>
      <w:r>
        <w:rPr>
          <w:rStyle w:val="DeltaViewInsertion"/>
          <w:color w:val="auto"/>
          <w:u w:val="none"/>
        </w:rPr>
        <w:t>4.</w:t>
      </w:r>
      <w:r>
        <w:rPr>
          <w:rStyle w:val="DeltaViewInsertion"/>
          <w:color w:val="auto"/>
          <w:u w:val="none"/>
        </w:rPr>
        <w:tab/>
        <w:t xml:space="preserve">Pressure </w:t>
      </w:r>
      <w:r>
        <w:rPr>
          <w:rStyle w:val="DeltaViewInsertion"/>
          <w:color w:val="auto"/>
          <w:u w:val="none"/>
        </w:rPr>
        <w:tab/>
      </w:r>
      <w:r>
        <w:rPr>
          <w:rStyle w:val="DeltaViewInsertion"/>
          <w:color w:val="auto"/>
          <w:u w:val="none"/>
        </w:rPr>
        <w:tab/>
        <w:t>(mb)</w:t>
      </w:r>
    </w:p>
    <w:p w14:paraId="72ABB53E" w14:textId="77777777" w:rsidR="00B63F33" w:rsidRDefault="00B63F33">
      <w:pPr>
        <w:tabs>
          <w:tab w:val="left" w:pos="1710"/>
        </w:tabs>
        <w:ind w:left="1714" w:hanging="634"/>
        <w:jc w:val="both"/>
        <w:rPr>
          <w:rStyle w:val="DeltaViewInsertion"/>
          <w:color w:val="auto"/>
          <w:u w:val="none"/>
        </w:rPr>
      </w:pPr>
      <w:r>
        <w:rPr>
          <w:rStyle w:val="DeltaViewInsertion"/>
          <w:color w:val="auto"/>
          <w:u w:val="none"/>
        </w:rPr>
        <w:t>5.</w:t>
      </w:r>
      <w:r>
        <w:rPr>
          <w:rStyle w:val="DeltaViewInsertion"/>
          <w:color w:val="auto"/>
          <w:u w:val="none"/>
        </w:rPr>
        <w:tab/>
        <w:t xml:space="preserve">Air Density </w:t>
      </w:r>
      <w:r>
        <w:rPr>
          <w:rStyle w:val="DeltaViewInsertion"/>
          <w:color w:val="auto"/>
          <w:u w:val="none"/>
        </w:rPr>
        <w:tab/>
        <w:t>(kg/m³)</w:t>
      </w:r>
    </w:p>
    <w:p w14:paraId="4054ED88" w14:textId="77777777" w:rsidR="00B63F33" w:rsidRDefault="00B63F33">
      <w:pPr>
        <w:tabs>
          <w:tab w:val="left" w:pos="1710"/>
        </w:tabs>
        <w:ind w:left="1714" w:hanging="634"/>
        <w:jc w:val="both"/>
        <w:rPr>
          <w:rStyle w:val="DeltaViewInsertion"/>
          <w:color w:val="auto"/>
          <w:u w:val="none"/>
        </w:rPr>
      </w:pPr>
      <w:r>
        <w:rPr>
          <w:rStyle w:val="DeltaViewInsertion"/>
          <w:color w:val="auto"/>
          <w:u w:val="none"/>
        </w:rPr>
        <w:t>6.</w:t>
      </w:r>
      <w:r>
        <w:rPr>
          <w:rStyle w:val="DeltaViewInsertion"/>
          <w:color w:val="auto"/>
          <w:u w:val="none"/>
        </w:rPr>
        <w:tab/>
        <w:t>Relative Humidity</w:t>
      </w:r>
    </w:p>
    <w:p w14:paraId="1529445D" w14:textId="77777777" w:rsidR="00B63F33" w:rsidRDefault="00B63F33">
      <w:pPr>
        <w:tabs>
          <w:tab w:val="left" w:pos="1710"/>
        </w:tabs>
        <w:ind w:left="1714" w:hanging="634"/>
        <w:jc w:val="both"/>
      </w:pPr>
      <w:r>
        <w:rPr>
          <w:rStyle w:val="DeltaViewInsertion"/>
          <w:color w:val="auto"/>
          <w:u w:val="none"/>
        </w:rPr>
        <w:t>7.</w:t>
      </w:r>
      <w:r>
        <w:rPr>
          <w:rStyle w:val="DeltaViewInsertion"/>
          <w:color w:val="auto"/>
          <w:u w:val="none"/>
        </w:rPr>
        <w:tab/>
        <w:t>Present Weather Status/Ice Condition Metering</w:t>
      </w:r>
    </w:p>
    <w:p w14:paraId="6B3061F9" w14:textId="77777777" w:rsidR="00B63F33" w:rsidRDefault="00B63F33">
      <w:pPr>
        <w:spacing w:after="240"/>
        <w:ind w:left="1260"/>
        <w:jc w:val="both"/>
      </w:pPr>
      <w:r>
        <w:rPr>
          <w:rStyle w:val="DeltaViewInsertion"/>
          <w:color w:val="auto"/>
          <w:u w:val="none"/>
        </w:rPr>
        <w:t>** = at all metered heights.</w:t>
      </w:r>
    </w:p>
    <w:p w14:paraId="3A2B8485" w14:textId="25B985DA" w:rsidR="00B63F33" w:rsidRDefault="00B63F33">
      <w:pPr>
        <w:spacing w:after="240"/>
        <w:ind w:firstLine="360"/>
        <w:jc w:val="both"/>
        <w:rPr>
          <w:bCs/>
        </w:rPr>
      </w:pPr>
      <w:r>
        <w:rPr>
          <w:rFonts w:cs="Arial"/>
        </w:rPr>
        <w:t>A second meteorological station is required to measure barometric pressure, temperature, wind speed and direction. The second meteorological station may be co-located on the primary meteorological station.  The height of the second station should be approximately 30 meters below the average hub height.</w:t>
      </w:r>
    </w:p>
    <w:p w14:paraId="3287ADEC" w14:textId="6EAEA9A2" w:rsidR="00B63F33" w:rsidRDefault="00B63F33">
      <w:pPr>
        <w:spacing w:after="240"/>
        <w:ind w:firstLine="360"/>
        <w:jc w:val="both"/>
        <w:rPr>
          <w:rFonts w:cs="Arial"/>
        </w:rPr>
      </w:pPr>
      <w:r>
        <w:rPr>
          <w:rFonts w:cs="Arial"/>
        </w:rPr>
        <w:t xml:space="preserve">The data stream from the meteorological stations to the Company’s PI System must be transmitted to Company via a dedicated communications link that is separate from the communications link used to transmit the data from the wind turbines.  The data stream must be capable of being transmitted during an outage or any curtailment and must include battery back-up at the meteorological station and a local source of electricity to power the PI System and interconnectivity between the Facility and Company during such outages and curtailments.  </w:t>
      </w:r>
    </w:p>
    <w:p w14:paraId="1A27F4C7" w14:textId="1F7DF978" w:rsidR="00B63F33" w:rsidRDefault="00B63F33">
      <w:pPr>
        <w:spacing w:after="240"/>
        <w:ind w:firstLine="360"/>
        <w:jc w:val="both"/>
      </w:pPr>
      <w:r>
        <w:t>Seller’s system used to communicate the Facility’s real time panels, inverters, or meteorological data shall be a dedicated communication i</w:t>
      </w:r>
      <w:r w:rsidRPr="00823A49">
        <w:rPr>
          <w:color w:val="000000" w:themeColor="text1"/>
        </w:rPr>
        <w:t xml:space="preserve">nterface </w:t>
      </w:r>
      <w:bookmarkStart w:id="828" w:name="_cp_change_264"/>
      <w:r w:rsidRPr="00823A49">
        <w:rPr>
          <w:color w:val="000000" w:themeColor="text1"/>
        </w:rPr>
        <w:t>installed on a dedicated Windows-based server,</w:t>
      </w:r>
      <w:r w:rsidRPr="00823A49">
        <w:rPr>
          <w:color w:val="000000" w:themeColor="text1"/>
          <w:u w:val="double" w:color="0000FF"/>
        </w:rPr>
        <w:t xml:space="preserve"> </w:t>
      </w:r>
      <w:bookmarkEnd w:id="828"/>
      <w:r>
        <w:t xml:space="preserve">that is separate of the real time AGC data.  Such interface shall be either (a) </w:t>
      </w:r>
      <w:bookmarkStart w:id="829" w:name="_cp_change_266"/>
      <w:r w:rsidRPr="00823A49">
        <w:rPr>
          <w:color w:val="000000" w:themeColor="text1"/>
        </w:rPr>
        <w:t>PI to PI</w:t>
      </w:r>
      <w:bookmarkEnd w:id="829"/>
      <w:r>
        <w:t>, (b) OPC, (c) DNP3, (d) Modbus, or (e) such other interface approved by Company.</w:t>
      </w:r>
    </w:p>
    <w:p w14:paraId="09E6390F" w14:textId="77777777" w:rsidR="00B63F33" w:rsidRDefault="00B63F33">
      <w:pPr>
        <w:keepNext/>
        <w:spacing w:after="120"/>
        <w:jc w:val="both"/>
        <w:rPr>
          <w:b/>
          <w:u w:val="single"/>
        </w:rPr>
      </w:pPr>
      <w:r>
        <w:rPr>
          <w:b/>
          <w:u w:val="single"/>
        </w:rPr>
        <w:lastRenderedPageBreak/>
        <w:t>AVAILABILITY REPORTING REQUIREMENTS</w:t>
      </w:r>
    </w:p>
    <w:p w14:paraId="6027A1DB" w14:textId="660EF082" w:rsidR="00B63F33" w:rsidRPr="002B1839" w:rsidRDefault="00CB764D">
      <w:pPr>
        <w:spacing w:after="240"/>
        <w:ind w:firstLine="720"/>
        <w:jc w:val="both"/>
        <w:rPr>
          <w:bCs/>
        </w:rPr>
      </w:pPr>
      <w:bookmarkStart w:id="830" w:name="_DV_IPM74"/>
      <w:bookmarkStart w:id="831" w:name="_DV_C408"/>
      <w:bookmarkEnd w:id="819"/>
      <w:bookmarkEnd w:id="830"/>
      <w:r w:rsidRPr="002B1839">
        <w:rPr>
          <w:bCs/>
        </w:rPr>
        <w:t>Two (2) Days prior to COD, the availability reporting requirements shall go into effect.</w:t>
      </w:r>
    </w:p>
    <w:p w14:paraId="6B792B3E" w14:textId="25B3ED04" w:rsidR="00B63F33" w:rsidRDefault="00B63F33" w:rsidP="00691098">
      <w:pPr>
        <w:spacing w:after="240"/>
        <w:ind w:firstLine="540"/>
        <w:jc w:val="both"/>
      </w:pPr>
      <w:r>
        <w:rPr>
          <w:bCs/>
        </w:rPr>
        <w:t xml:space="preserve">The schedule of available generating capacity at the Facility shall be posted by 4:00 AM Mountain Prevailing Time (“MPT”) the Day prior to each Day, and shall be applicable thorough the end of such Dy.  For example, at 4 AM MPT on Monday, an availability schedule is required for Wednesday (midnight to midnight).  On Tuesday, the schedule for Thursday, Wednesday the schedule for Friday, and so on.  The availability schedule shall be submitted through an availability forecast system as specified by Company to Seller.  Prior to the Commercial Operation Date, Company shall provide Seller with the information necessary for Seller to access the chosen availability forecast system. </w:t>
      </w:r>
    </w:p>
    <w:p w14:paraId="70B331E0" w14:textId="6D68FFA0" w:rsidR="00B63F33" w:rsidRPr="00823A49" w:rsidRDefault="00B63F33" w:rsidP="00F246FE">
      <w:pPr>
        <w:spacing w:after="240"/>
        <w:ind w:firstLine="720"/>
        <w:jc w:val="both"/>
        <w:rPr>
          <w:color w:val="000000" w:themeColor="text1"/>
        </w:rPr>
      </w:pPr>
      <w:r>
        <w:rPr>
          <w:bCs/>
        </w:rPr>
        <w:t xml:space="preserve"> </w:t>
      </w:r>
      <w:bookmarkStart w:id="832" w:name="_DV_IPM75"/>
      <w:bookmarkStart w:id="833" w:name="_DV_IPM79"/>
      <w:bookmarkStart w:id="834" w:name="_DV_DP94"/>
      <w:bookmarkStart w:id="835" w:name="_DV_IPM85"/>
      <w:bookmarkStart w:id="836" w:name="_DV_C435"/>
      <w:bookmarkEnd w:id="831"/>
      <w:bookmarkEnd w:id="832"/>
      <w:bookmarkEnd w:id="833"/>
      <w:bookmarkEnd w:id="834"/>
      <w:bookmarkEnd w:id="835"/>
      <w:r w:rsidRPr="00823A49">
        <w:rPr>
          <w:bCs/>
          <w:color w:val="000000" w:themeColor="text1"/>
        </w:rPr>
        <w:t xml:space="preserve">If any events or circumstances reduce the forecasted availability of the Facility by </w:t>
      </w:r>
      <w:bookmarkStart w:id="837" w:name="_cp_change_269"/>
      <w:r w:rsidRPr="00823A49">
        <w:rPr>
          <w:bCs/>
          <w:color w:val="000000" w:themeColor="text1"/>
        </w:rPr>
        <w:t>ten percent (</w:t>
      </w:r>
      <w:bookmarkEnd w:id="837"/>
      <w:r w:rsidRPr="00823A49">
        <w:rPr>
          <w:bCs/>
          <w:color w:val="000000" w:themeColor="text1"/>
        </w:rPr>
        <w:t>10%</w:t>
      </w:r>
      <w:bookmarkStart w:id="838" w:name="_cp_change_270"/>
      <w:r w:rsidRPr="00823A49">
        <w:rPr>
          <w:bCs/>
          <w:color w:val="000000" w:themeColor="text1"/>
        </w:rPr>
        <w:t>)</w:t>
      </w:r>
      <w:bookmarkEnd w:id="838"/>
      <w:r w:rsidRPr="00823A49">
        <w:rPr>
          <w:bCs/>
          <w:color w:val="000000" w:themeColor="text1"/>
        </w:rPr>
        <w:t xml:space="preserve"> of Nameplate Capacity or </w:t>
      </w:r>
      <w:bookmarkStart w:id="839" w:name="_cp_change_271"/>
      <w:r w:rsidRPr="00823A49">
        <w:rPr>
          <w:bCs/>
          <w:color w:val="000000" w:themeColor="text1"/>
        </w:rPr>
        <w:t>five (</w:t>
      </w:r>
      <w:bookmarkEnd w:id="839"/>
      <w:r w:rsidRPr="00823A49">
        <w:rPr>
          <w:bCs/>
          <w:color w:val="000000" w:themeColor="text1"/>
        </w:rPr>
        <w:t>5</w:t>
      </w:r>
      <w:bookmarkStart w:id="840" w:name="_cp_change_272"/>
      <w:r w:rsidRPr="00823A49">
        <w:rPr>
          <w:bCs/>
          <w:color w:val="000000" w:themeColor="text1"/>
        </w:rPr>
        <w:t>)</w:t>
      </w:r>
      <w:bookmarkEnd w:id="840"/>
      <w:r w:rsidRPr="00823A49">
        <w:rPr>
          <w:bCs/>
          <w:color w:val="000000" w:themeColor="text1"/>
        </w:rPr>
        <w:t xml:space="preserve"> MW, whichever is lesser, such reduction shall be (1) communicated to the real-time operator via telephone with (2) imme</w:t>
      </w:r>
      <w:r>
        <w:rPr>
          <w:bCs/>
        </w:rPr>
        <w:t>diate update to the availability schedule in the availability forecast system</w:t>
      </w:r>
      <w:bookmarkStart w:id="841" w:name="_cp_change_274"/>
      <w:bookmarkEnd w:id="836"/>
      <w:r w:rsidR="00823A49">
        <w:rPr>
          <w:bCs/>
        </w:rPr>
        <w:t xml:space="preserve"> </w:t>
      </w:r>
      <w:r w:rsidRPr="00823A49">
        <w:rPr>
          <w:color w:val="000000" w:themeColor="text1"/>
        </w:rPr>
        <w:t>coming on-line.</w:t>
      </w:r>
      <w:bookmarkEnd w:id="841"/>
    </w:p>
    <w:p w14:paraId="258D6014" w14:textId="77777777" w:rsidR="00B63F33" w:rsidRDefault="00B63F33">
      <w:pPr>
        <w:ind w:firstLine="360"/>
        <w:jc w:val="both"/>
      </w:pPr>
      <w:r>
        <w:t>Seller shall pay to Company any charges imposed on Company by the Market Operator to the extent such charges result from Seller’s failure submit an accurate and/or timely forecast of available generating capacity for the Facility.</w:t>
      </w:r>
    </w:p>
    <w:p w14:paraId="3BABA2ED" w14:textId="77777777" w:rsidR="00B63F33" w:rsidRDefault="00B63F33">
      <w:pPr>
        <w:ind w:firstLine="360"/>
        <w:jc w:val="both"/>
      </w:pPr>
    </w:p>
    <w:p w14:paraId="429638C3" w14:textId="77777777" w:rsidR="00B63F33" w:rsidRDefault="00B63F33">
      <w:pPr>
        <w:keepNext/>
        <w:spacing w:after="120"/>
        <w:jc w:val="both"/>
        <w:rPr>
          <w:b/>
          <w:u w:val="single"/>
        </w:rPr>
      </w:pPr>
      <w:r>
        <w:rPr>
          <w:b/>
          <w:u w:val="single"/>
        </w:rPr>
        <w:t>EQUIVALENT AVAILABILITY REPORTING FACTOR</w:t>
      </w:r>
    </w:p>
    <w:p w14:paraId="180C6271" w14:textId="313542DD" w:rsidR="00B63F33" w:rsidRDefault="00B63F33">
      <w:r>
        <w:t xml:space="preserve">During each Commercial Operation Year, Seller shall achieve an Equivalent Availability Reporting Factor of not less than ninety percent (90%). </w:t>
      </w:r>
    </w:p>
    <w:p w14:paraId="2E29351C" w14:textId="77777777" w:rsidR="00B63F33" w:rsidRDefault="00B63F33"/>
    <w:p w14:paraId="7DE74584" w14:textId="77777777" w:rsidR="00B63F33" w:rsidRDefault="00B63F33">
      <w:pPr>
        <w:ind w:left="720"/>
        <w:jc w:val="both"/>
      </w:pPr>
      <w:r>
        <w:t>“Availability Reporting Percentage” means, during any given Outage, the percentage obtained by dividing the available capacity by the Nameplate Capacity of the Facility.</w:t>
      </w:r>
    </w:p>
    <w:p w14:paraId="2C62CAB2" w14:textId="77777777" w:rsidR="00B63F33" w:rsidRDefault="00B63F33">
      <w:pPr>
        <w:ind w:left="720"/>
        <w:jc w:val="both"/>
      </w:pPr>
    </w:p>
    <w:p w14:paraId="6506DE50" w14:textId="77777777" w:rsidR="00B63F33" w:rsidRDefault="00B63F33">
      <w:pPr>
        <w:ind w:left="720"/>
        <w:jc w:val="both"/>
      </w:pPr>
      <w:r>
        <w:t>“Equivalent Availability Reporting Factor” shall be calculated as follows: (Hours – Total Equivalent Unreported Unavailable Hours – Total Equivalent Reported Unavailable Hours) / (Hours – Total Equivalent Reported Unavailable Hours).</w:t>
      </w:r>
    </w:p>
    <w:p w14:paraId="538B801F" w14:textId="77777777" w:rsidR="00B63F33" w:rsidRDefault="00B63F33">
      <w:pPr>
        <w:ind w:left="720"/>
        <w:jc w:val="both"/>
      </w:pPr>
    </w:p>
    <w:p w14:paraId="29BF1608" w14:textId="77777777" w:rsidR="00B63F33" w:rsidRDefault="00B63F33">
      <w:pPr>
        <w:ind w:left="720"/>
        <w:jc w:val="both"/>
      </w:pPr>
      <w:r>
        <w:t>“Equivalent Unavailable Hours” (Reported or Unreported) means, for any Outage, the product of (x) the number of hours during such Outage multiplied by (y) one minus the Availability Reporting Percentage during such Outage.</w:t>
      </w:r>
    </w:p>
    <w:p w14:paraId="22BCF28C" w14:textId="77777777" w:rsidR="00B63F33" w:rsidRDefault="00B63F33">
      <w:pPr>
        <w:ind w:left="720"/>
        <w:jc w:val="both"/>
      </w:pPr>
    </w:p>
    <w:p w14:paraId="45B19CD5" w14:textId="77777777" w:rsidR="00B63F33" w:rsidRDefault="00B63F33">
      <w:pPr>
        <w:ind w:left="720"/>
        <w:jc w:val="both"/>
      </w:pPr>
      <w:r>
        <w:t>“Total Equivalent Unreported Unavailable Hours” means the sum of the number of Equivalent Unavailable Hours which are not reported by Seller to Company via the Company’s availability forecast system and by telephone, if applicable, during the applicable month.</w:t>
      </w:r>
    </w:p>
    <w:p w14:paraId="49DA6527" w14:textId="77777777" w:rsidR="00B63F33" w:rsidRDefault="00B63F33">
      <w:pPr>
        <w:ind w:left="720"/>
        <w:jc w:val="both"/>
      </w:pPr>
    </w:p>
    <w:p w14:paraId="5A6777D6" w14:textId="77777777" w:rsidR="00B63F33" w:rsidRDefault="00B63F33">
      <w:pPr>
        <w:ind w:left="720"/>
        <w:jc w:val="both"/>
      </w:pPr>
      <w:r>
        <w:t xml:space="preserve">“Total Equivalent Reported Unavailable Hours” means the sum of the number of Equivalent Unavailable Hours which are reported by Seller to Company via the </w:t>
      </w:r>
      <w:r>
        <w:lastRenderedPageBreak/>
        <w:t>Company’s availability forecast system and by telephone, if applicable, during the applicable month.</w:t>
      </w:r>
    </w:p>
    <w:p w14:paraId="4E6D3172" w14:textId="77777777" w:rsidR="00B63F33" w:rsidRDefault="00B63F33">
      <w:pPr>
        <w:ind w:left="720"/>
      </w:pPr>
    </w:p>
    <w:p w14:paraId="4E0EC10C" w14:textId="77777777" w:rsidR="00B63F33" w:rsidRDefault="00B63F33">
      <w:pPr>
        <w:jc w:val="both"/>
      </w:pPr>
    </w:p>
    <w:p w14:paraId="2710D303" w14:textId="77777777" w:rsidR="00B63F33" w:rsidRDefault="00B63F33">
      <w:pPr>
        <w:pStyle w:val="BodyText"/>
        <w:rPr>
          <w:lang w:val="en-US" w:eastAsia="en-US"/>
        </w:rPr>
      </w:pPr>
    </w:p>
    <w:p w14:paraId="4B7BD1E9" w14:textId="77777777" w:rsidR="00B63F33" w:rsidRDefault="00B63F33">
      <w:pPr>
        <w:jc w:val="both"/>
      </w:pPr>
    </w:p>
    <w:p w14:paraId="6830BDD8" w14:textId="77777777" w:rsidR="00B63F33" w:rsidRDefault="00B63F33">
      <w:pPr>
        <w:jc w:val="center"/>
      </w:pPr>
      <w:r>
        <w:t>*</w:t>
      </w:r>
      <w:r>
        <w:tab/>
      </w:r>
      <w:r>
        <w:tab/>
        <w:t>*</w:t>
      </w:r>
      <w:r>
        <w:tab/>
      </w:r>
      <w:r>
        <w:tab/>
        <w:t>*</w:t>
      </w:r>
      <w:r>
        <w:tab/>
      </w:r>
      <w:r>
        <w:tab/>
        <w:t>*</w:t>
      </w:r>
      <w:r>
        <w:tab/>
      </w:r>
      <w:r>
        <w:tab/>
        <w:t>*</w:t>
      </w:r>
    </w:p>
    <w:p w14:paraId="30EFFE62" w14:textId="77777777" w:rsidR="00B63F33" w:rsidRDefault="00B63F33">
      <w:pPr>
        <w:pStyle w:val="Title"/>
      </w:pPr>
    </w:p>
    <w:p w14:paraId="01FEB332" w14:textId="77777777" w:rsidR="00B63F33" w:rsidRDefault="00B63F33">
      <w:pPr>
        <w:jc w:val="both"/>
        <w:outlineLvl w:val="0"/>
        <w:sectPr w:rsidR="00B63F33">
          <w:headerReference w:type="even" r:id="rId83"/>
          <w:headerReference w:type="default" r:id="rId84"/>
          <w:footerReference w:type="even" r:id="rId85"/>
          <w:footerReference w:type="default" r:id="rId86"/>
          <w:headerReference w:type="first" r:id="rId87"/>
          <w:footerReference w:type="first" r:id="rId88"/>
          <w:pgSz w:w="12240" w:h="15840" w:code="1"/>
          <w:pgMar w:top="1440" w:right="1440" w:bottom="1440" w:left="1440" w:header="720" w:footer="720" w:gutter="0"/>
          <w:pgNumType w:start="1"/>
          <w:cols w:space="720"/>
        </w:sectPr>
      </w:pPr>
    </w:p>
    <w:p w14:paraId="1AA8E8D2" w14:textId="27ECBDC1" w:rsidR="00B63F33" w:rsidRPr="00F246FE" w:rsidRDefault="004666F5" w:rsidP="005357FF">
      <w:pPr>
        <w:pStyle w:val="ExhibitTitle"/>
      </w:pPr>
      <w:bookmarkStart w:id="842" w:name="_Toc149813160"/>
      <w:bookmarkStart w:id="843" w:name="_Toc150954977"/>
      <w:r>
        <w:lastRenderedPageBreak/>
        <w:t xml:space="preserve">EXHIBIT </w:t>
      </w:r>
      <w:fldSimple w:instr=" SEQ EXHIBIT \* ALPHABETIC ">
        <w:r w:rsidR="00BC3574">
          <w:rPr>
            <w:noProof/>
          </w:rPr>
          <w:t>J</w:t>
        </w:r>
      </w:fldSimple>
      <w:r>
        <w:t xml:space="preserve"> - </w:t>
      </w:r>
      <w:r w:rsidR="00B63F33" w:rsidRPr="00F246FE">
        <w:t>RENEWABLE ENERGY PAYMENT RATE; COMMITTED ENERGY</w:t>
      </w:r>
      <w:bookmarkEnd w:id="842"/>
      <w:bookmarkEnd w:id="843"/>
    </w:p>
    <w:p w14:paraId="5CF88B5E" w14:textId="77777777" w:rsidR="00B63F33" w:rsidRDefault="00B63F33"/>
    <w:p w14:paraId="46076F23" w14:textId="77777777" w:rsidR="00B63F33" w:rsidRDefault="00B63F33">
      <w:r>
        <w:rPr>
          <w:color w:val="FF0000"/>
        </w:rPr>
        <w:t>[</w:t>
      </w:r>
      <w:r>
        <w:rPr>
          <w:i/>
          <w:iCs/>
          <w:color w:val="FF0000"/>
          <w:highlight w:val="yellow"/>
        </w:rPr>
        <w:t>The “Committed Energy” values in Exhibit J shall be the P50 value as set forth in Seller’s bid.</w:t>
      </w:r>
      <w:r>
        <w:rPr>
          <w:color w:val="FF0000"/>
        </w:rPr>
        <w:t>]</w:t>
      </w:r>
      <w:r>
        <w:t xml:space="preserve"> </w:t>
      </w:r>
    </w:p>
    <w:p w14:paraId="263F7153" w14:textId="77777777" w:rsidR="00B63F33" w:rsidRDefault="00B63F33"/>
    <w:p w14:paraId="6AEB4E4C" w14:textId="38E6A801" w:rsidR="00B63F33" w:rsidRDefault="00551798">
      <w:pPr>
        <w:rPr>
          <w:i/>
        </w:rPr>
      </w:pPr>
      <w:r>
        <w:rPr>
          <w:i/>
        </w:rPr>
        <w:t xml:space="preserve">This entire Exhibit shall be </w:t>
      </w:r>
      <w:proofErr w:type="gramStart"/>
      <w:r>
        <w:rPr>
          <w:i/>
        </w:rPr>
        <w:t>deemed</w:t>
      </w:r>
      <w:proofErr w:type="gramEnd"/>
      <w:r>
        <w:rPr>
          <w:i/>
        </w:rPr>
        <w:t xml:space="preserve"> Confidential Information subject to </w:t>
      </w:r>
      <w:r>
        <w:rPr>
          <w:i/>
          <w:u w:val="single"/>
        </w:rPr>
        <w:t xml:space="preserve">Section </w:t>
      </w:r>
      <w:r w:rsidR="00990857">
        <w:rPr>
          <w:i/>
          <w:u w:val="single"/>
        </w:rPr>
        <w:fldChar w:fldCharType="begin"/>
      </w:r>
      <w:r w:rsidR="00990857">
        <w:rPr>
          <w:i/>
          <w:u w:val="single"/>
        </w:rPr>
        <w:instrText xml:space="preserve"> REF _Ref149811974 \w \h </w:instrText>
      </w:r>
      <w:r w:rsidR="00990857">
        <w:rPr>
          <w:i/>
          <w:u w:val="single"/>
        </w:rPr>
      </w:r>
      <w:r w:rsidR="00990857">
        <w:rPr>
          <w:i/>
          <w:u w:val="single"/>
        </w:rPr>
        <w:fldChar w:fldCharType="separate"/>
      </w:r>
      <w:r w:rsidR="00990857">
        <w:rPr>
          <w:i/>
          <w:u w:val="single"/>
        </w:rPr>
        <w:t>20.19</w:t>
      </w:r>
      <w:r w:rsidR="00990857">
        <w:rPr>
          <w:i/>
          <w:u w:val="single"/>
        </w:rPr>
        <w:fldChar w:fldCharType="end"/>
      </w:r>
      <w:r>
        <w:rPr>
          <w:i/>
        </w:rPr>
        <w:t>.</w:t>
      </w:r>
    </w:p>
    <w:p w14:paraId="6027AEF2" w14:textId="77777777" w:rsidR="00B63F33" w:rsidRDefault="00B63F33">
      <w:pPr>
        <w:jc w:val="center"/>
        <w:rPr>
          <w:i/>
          <w:sz w:val="20"/>
          <w:szCs w:val="20"/>
        </w:rPr>
      </w:pPr>
    </w:p>
    <w:p w14:paraId="6D6F6522" w14:textId="77777777" w:rsidR="00B63F33" w:rsidRDefault="00B63F33"/>
    <w:tbl>
      <w:tblPr>
        <w:tblW w:w="892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3"/>
        <w:gridCol w:w="1493"/>
        <w:gridCol w:w="1518"/>
        <w:gridCol w:w="1516"/>
        <w:gridCol w:w="1519"/>
        <w:gridCol w:w="1377"/>
      </w:tblGrid>
      <w:tr w:rsidR="00B63F33" w14:paraId="2A7EA2BC" w14:textId="77777777" w:rsidTr="00691098">
        <w:tc>
          <w:tcPr>
            <w:tcW w:w="1503" w:type="dxa"/>
          </w:tcPr>
          <w:p w14:paraId="6587C6C8" w14:textId="77777777" w:rsidR="00B63F33" w:rsidRDefault="00B63F33">
            <w:pPr>
              <w:pStyle w:val="BodyText"/>
              <w:spacing w:before="80" w:after="80"/>
              <w:jc w:val="center"/>
              <w:rPr>
                <w:vertAlign w:val="superscript"/>
                <w:lang w:val="en-US" w:eastAsia="en-US"/>
              </w:rPr>
            </w:pPr>
            <w:r>
              <w:rPr>
                <w:lang w:val="en-US" w:eastAsia="en-US"/>
              </w:rPr>
              <w:t>Commercial Operation Year</w:t>
            </w:r>
          </w:p>
        </w:tc>
        <w:tc>
          <w:tcPr>
            <w:tcW w:w="1493" w:type="dxa"/>
          </w:tcPr>
          <w:p w14:paraId="24E1C332" w14:textId="77777777" w:rsidR="00B63F33" w:rsidRDefault="00B63F33">
            <w:pPr>
              <w:pStyle w:val="BodyText"/>
              <w:spacing w:before="80" w:after="80"/>
              <w:jc w:val="center"/>
              <w:rPr>
                <w:lang w:val="en-US" w:eastAsia="en-US"/>
              </w:rPr>
            </w:pPr>
            <w:r>
              <w:rPr>
                <w:lang w:val="en-US" w:eastAsia="en-US"/>
              </w:rPr>
              <w:t xml:space="preserve">Renewable Energy Payment Rate </w:t>
            </w:r>
            <w:r>
              <w:rPr>
                <w:sz w:val="20"/>
                <w:szCs w:val="20"/>
                <w:lang w:val="en-US" w:eastAsia="en-US"/>
              </w:rPr>
              <w:t>($/MWh)</w:t>
            </w:r>
          </w:p>
        </w:tc>
        <w:tc>
          <w:tcPr>
            <w:tcW w:w="1518" w:type="dxa"/>
            <w:tcBorders>
              <w:right w:val="thinThickThinSmallGap" w:sz="24" w:space="0" w:color="auto"/>
            </w:tcBorders>
          </w:tcPr>
          <w:p w14:paraId="040A1528" w14:textId="77777777" w:rsidR="00B63F33" w:rsidRDefault="00B63F33">
            <w:pPr>
              <w:pStyle w:val="BodyText"/>
              <w:spacing w:before="80" w:after="80"/>
              <w:jc w:val="center"/>
              <w:rPr>
                <w:lang w:val="en-US" w:eastAsia="en-US"/>
              </w:rPr>
            </w:pPr>
            <w:r>
              <w:rPr>
                <w:lang w:val="en-US" w:eastAsia="en-US"/>
              </w:rPr>
              <w:t xml:space="preserve">Committed Energy </w:t>
            </w:r>
          </w:p>
          <w:p w14:paraId="11DA57A8" w14:textId="77777777" w:rsidR="00B63F33" w:rsidRDefault="00B63F33">
            <w:pPr>
              <w:pStyle w:val="BodyText"/>
              <w:spacing w:before="80" w:after="80"/>
              <w:jc w:val="center"/>
              <w:rPr>
                <w:sz w:val="20"/>
                <w:szCs w:val="20"/>
                <w:lang w:val="en-US" w:eastAsia="en-US"/>
              </w:rPr>
            </w:pPr>
            <w:r>
              <w:rPr>
                <w:sz w:val="20"/>
                <w:szCs w:val="20"/>
                <w:lang w:val="en-US" w:eastAsia="en-US"/>
              </w:rPr>
              <w:t>(MWh)</w:t>
            </w:r>
          </w:p>
          <w:p w14:paraId="00617D62" w14:textId="77777777" w:rsidR="00B63F33" w:rsidRDefault="00B63F33">
            <w:pPr>
              <w:pStyle w:val="BodyText"/>
              <w:spacing w:before="80" w:after="80"/>
              <w:jc w:val="center"/>
              <w:rPr>
                <w:lang w:val="en-US" w:eastAsia="en-US"/>
              </w:rPr>
            </w:pPr>
          </w:p>
        </w:tc>
        <w:tc>
          <w:tcPr>
            <w:tcW w:w="1516" w:type="dxa"/>
            <w:tcBorders>
              <w:left w:val="thinThickThinSmallGap" w:sz="24" w:space="0" w:color="auto"/>
            </w:tcBorders>
          </w:tcPr>
          <w:p w14:paraId="3713D8AB" w14:textId="77777777" w:rsidR="00B63F33" w:rsidRDefault="00B63F33">
            <w:pPr>
              <w:pStyle w:val="BodyText"/>
              <w:spacing w:before="80" w:after="80"/>
              <w:jc w:val="center"/>
              <w:rPr>
                <w:vertAlign w:val="superscript"/>
                <w:lang w:val="en-US" w:eastAsia="en-US"/>
              </w:rPr>
            </w:pPr>
            <w:r>
              <w:rPr>
                <w:lang w:val="en-US" w:eastAsia="en-US"/>
              </w:rPr>
              <w:t>Commercial Operation Year</w:t>
            </w:r>
          </w:p>
        </w:tc>
        <w:tc>
          <w:tcPr>
            <w:tcW w:w="1519" w:type="dxa"/>
          </w:tcPr>
          <w:p w14:paraId="0F6BD737" w14:textId="77777777" w:rsidR="00B63F33" w:rsidRDefault="00B63F33">
            <w:pPr>
              <w:pStyle w:val="BodyText"/>
              <w:spacing w:before="80" w:after="80"/>
              <w:jc w:val="center"/>
              <w:rPr>
                <w:lang w:val="en-US" w:eastAsia="en-US"/>
              </w:rPr>
            </w:pPr>
            <w:r>
              <w:rPr>
                <w:lang w:val="en-US" w:eastAsia="en-US"/>
              </w:rPr>
              <w:t xml:space="preserve">Renewable Energy Payment Rate </w:t>
            </w:r>
            <w:r>
              <w:rPr>
                <w:sz w:val="20"/>
                <w:szCs w:val="20"/>
                <w:lang w:val="en-US" w:eastAsia="en-US"/>
              </w:rPr>
              <w:t>($/MWh)</w:t>
            </w:r>
          </w:p>
        </w:tc>
        <w:tc>
          <w:tcPr>
            <w:tcW w:w="1377" w:type="dxa"/>
          </w:tcPr>
          <w:p w14:paraId="372C1898" w14:textId="77777777" w:rsidR="00B63F33" w:rsidRDefault="00B63F33">
            <w:pPr>
              <w:pStyle w:val="BodyText"/>
              <w:spacing w:before="80" w:after="80"/>
              <w:jc w:val="center"/>
              <w:rPr>
                <w:lang w:val="en-US" w:eastAsia="en-US"/>
              </w:rPr>
            </w:pPr>
            <w:r>
              <w:rPr>
                <w:lang w:val="en-US" w:eastAsia="en-US"/>
              </w:rPr>
              <w:t xml:space="preserve">Committed Energy </w:t>
            </w:r>
          </w:p>
          <w:p w14:paraId="31B8613A" w14:textId="77777777" w:rsidR="00B63F33" w:rsidRDefault="00B63F33">
            <w:pPr>
              <w:pStyle w:val="BodyText"/>
              <w:spacing w:before="80" w:after="80"/>
              <w:jc w:val="center"/>
              <w:rPr>
                <w:sz w:val="20"/>
                <w:szCs w:val="20"/>
                <w:lang w:val="en-US" w:eastAsia="en-US"/>
              </w:rPr>
            </w:pPr>
            <w:r>
              <w:rPr>
                <w:sz w:val="20"/>
                <w:szCs w:val="20"/>
                <w:lang w:val="en-US" w:eastAsia="en-US"/>
              </w:rPr>
              <w:t>(MWh)</w:t>
            </w:r>
          </w:p>
          <w:p w14:paraId="0976B807" w14:textId="0A842D68" w:rsidR="00B63F33" w:rsidRDefault="00B63F33">
            <w:pPr>
              <w:pStyle w:val="BodyText"/>
              <w:spacing w:before="80" w:after="80"/>
              <w:jc w:val="center"/>
              <w:rPr>
                <w:lang w:val="en-US" w:eastAsia="en-US"/>
              </w:rPr>
            </w:pPr>
          </w:p>
        </w:tc>
      </w:tr>
      <w:tr w:rsidR="00B63F33" w14:paraId="010D7C7A" w14:textId="77777777" w:rsidTr="00691098">
        <w:tc>
          <w:tcPr>
            <w:tcW w:w="1503" w:type="dxa"/>
          </w:tcPr>
          <w:p w14:paraId="5735D6FE" w14:textId="77777777" w:rsidR="00B63F33" w:rsidRDefault="00B63F33">
            <w:pPr>
              <w:pStyle w:val="BodyText"/>
              <w:spacing w:before="80" w:after="80"/>
              <w:jc w:val="center"/>
              <w:rPr>
                <w:lang w:val="en-US" w:eastAsia="en-US"/>
              </w:rPr>
            </w:pPr>
            <w:r>
              <w:rPr>
                <w:lang w:val="en-US" w:eastAsia="en-US"/>
              </w:rPr>
              <w:t>1</w:t>
            </w:r>
          </w:p>
        </w:tc>
        <w:tc>
          <w:tcPr>
            <w:tcW w:w="1493" w:type="dxa"/>
          </w:tcPr>
          <w:p w14:paraId="4785C02A"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7129E8B1"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6FD0BB8B" w14:textId="77777777" w:rsidR="00B63F33" w:rsidRDefault="00B63F33">
            <w:pPr>
              <w:pStyle w:val="BodyText"/>
              <w:spacing w:before="80" w:after="80"/>
              <w:jc w:val="center"/>
              <w:rPr>
                <w:lang w:val="en-US" w:eastAsia="en-US"/>
              </w:rPr>
            </w:pPr>
            <w:r>
              <w:rPr>
                <w:lang w:val="en-US" w:eastAsia="en-US"/>
              </w:rPr>
              <w:t>14</w:t>
            </w:r>
          </w:p>
        </w:tc>
        <w:tc>
          <w:tcPr>
            <w:tcW w:w="1519" w:type="dxa"/>
          </w:tcPr>
          <w:p w14:paraId="35B7BD68"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64EA06A3" w14:textId="77777777" w:rsidR="00B63F33" w:rsidRDefault="00B63F33">
            <w:pPr>
              <w:pStyle w:val="BodyText"/>
              <w:spacing w:before="80" w:after="80"/>
              <w:jc w:val="center"/>
              <w:rPr>
                <w:lang w:val="en-US" w:eastAsia="en-US"/>
              </w:rPr>
            </w:pPr>
            <w:r>
              <w:rPr>
                <w:lang w:val="en-US" w:eastAsia="en-US"/>
              </w:rPr>
              <w:t>_____</w:t>
            </w:r>
          </w:p>
        </w:tc>
      </w:tr>
      <w:tr w:rsidR="00B63F33" w14:paraId="5FFE67A3" w14:textId="77777777" w:rsidTr="00691098">
        <w:tc>
          <w:tcPr>
            <w:tcW w:w="1503" w:type="dxa"/>
          </w:tcPr>
          <w:p w14:paraId="7D6CFEF3" w14:textId="77777777" w:rsidR="00B63F33" w:rsidRDefault="00B63F33">
            <w:pPr>
              <w:pStyle w:val="BodyText"/>
              <w:spacing w:before="80" w:after="80"/>
              <w:jc w:val="center"/>
              <w:rPr>
                <w:lang w:val="en-US" w:eastAsia="en-US"/>
              </w:rPr>
            </w:pPr>
            <w:r>
              <w:rPr>
                <w:lang w:val="en-US" w:eastAsia="en-US"/>
              </w:rPr>
              <w:t>2</w:t>
            </w:r>
          </w:p>
        </w:tc>
        <w:tc>
          <w:tcPr>
            <w:tcW w:w="1493" w:type="dxa"/>
          </w:tcPr>
          <w:p w14:paraId="597DBE0B"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47F0847C"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711776BD" w14:textId="77777777" w:rsidR="00B63F33" w:rsidRDefault="00B63F33">
            <w:pPr>
              <w:pStyle w:val="BodyText"/>
              <w:spacing w:before="80" w:after="80"/>
              <w:jc w:val="center"/>
              <w:rPr>
                <w:lang w:val="en-US" w:eastAsia="en-US"/>
              </w:rPr>
            </w:pPr>
            <w:r>
              <w:rPr>
                <w:lang w:val="en-US" w:eastAsia="en-US"/>
              </w:rPr>
              <w:t>15</w:t>
            </w:r>
          </w:p>
        </w:tc>
        <w:tc>
          <w:tcPr>
            <w:tcW w:w="1519" w:type="dxa"/>
          </w:tcPr>
          <w:p w14:paraId="2C332DDE"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42736535" w14:textId="77777777" w:rsidR="00B63F33" w:rsidRDefault="00B63F33">
            <w:pPr>
              <w:pStyle w:val="BodyText"/>
              <w:spacing w:before="80" w:after="80"/>
              <w:jc w:val="center"/>
              <w:rPr>
                <w:lang w:val="en-US" w:eastAsia="en-US"/>
              </w:rPr>
            </w:pPr>
            <w:r>
              <w:rPr>
                <w:lang w:val="en-US" w:eastAsia="en-US"/>
              </w:rPr>
              <w:t>_____</w:t>
            </w:r>
          </w:p>
        </w:tc>
      </w:tr>
      <w:tr w:rsidR="00B63F33" w14:paraId="1A645B5F" w14:textId="77777777" w:rsidTr="00691098">
        <w:tc>
          <w:tcPr>
            <w:tcW w:w="1503" w:type="dxa"/>
          </w:tcPr>
          <w:p w14:paraId="3DDAB9B2" w14:textId="77777777" w:rsidR="00B63F33" w:rsidRDefault="00B63F33">
            <w:pPr>
              <w:pStyle w:val="BodyText"/>
              <w:spacing w:before="80" w:after="80"/>
              <w:jc w:val="center"/>
              <w:rPr>
                <w:lang w:val="en-US" w:eastAsia="en-US"/>
              </w:rPr>
            </w:pPr>
            <w:r>
              <w:rPr>
                <w:lang w:val="en-US" w:eastAsia="en-US"/>
              </w:rPr>
              <w:t>3</w:t>
            </w:r>
          </w:p>
        </w:tc>
        <w:tc>
          <w:tcPr>
            <w:tcW w:w="1493" w:type="dxa"/>
          </w:tcPr>
          <w:p w14:paraId="0B12C792"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6A7EE0B6"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207F9A8F" w14:textId="77777777" w:rsidR="00B63F33" w:rsidRDefault="00B63F33">
            <w:pPr>
              <w:pStyle w:val="BodyText"/>
              <w:spacing w:before="80" w:after="80"/>
              <w:jc w:val="center"/>
              <w:rPr>
                <w:lang w:val="en-US" w:eastAsia="en-US"/>
              </w:rPr>
            </w:pPr>
            <w:r>
              <w:rPr>
                <w:lang w:val="en-US" w:eastAsia="en-US"/>
              </w:rPr>
              <w:t>16</w:t>
            </w:r>
          </w:p>
        </w:tc>
        <w:tc>
          <w:tcPr>
            <w:tcW w:w="1519" w:type="dxa"/>
          </w:tcPr>
          <w:p w14:paraId="5A591DC4"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27D7BC6D" w14:textId="77777777" w:rsidR="00B63F33" w:rsidRDefault="00B63F33">
            <w:pPr>
              <w:pStyle w:val="BodyText"/>
              <w:spacing w:before="80" w:after="80"/>
              <w:jc w:val="center"/>
              <w:rPr>
                <w:lang w:val="en-US" w:eastAsia="en-US"/>
              </w:rPr>
            </w:pPr>
            <w:r>
              <w:rPr>
                <w:lang w:val="en-US" w:eastAsia="en-US"/>
              </w:rPr>
              <w:t>_____</w:t>
            </w:r>
          </w:p>
        </w:tc>
      </w:tr>
      <w:tr w:rsidR="00B63F33" w14:paraId="3010C282" w14:textId="77777777" w:rsidTr="00691098">
        <w:tc>
          <w:tcPr>
            <w:tcW w:w="1503" w:type="dxa"/>
          </w:tcPr>
          <w:p w14:paraId="171200B7" w14:textId="77777777" w:rsidR="00B63F33" w:rsidRDefault="00B63F33">
            <w:pPr>
              <w:pStyle w:val="BodyText"/>
              <w:spacing w:before="80" w:after="80"/>
              <w:jc w:val="center"/>
              <w:rPr>
                <w:lang w:val="en-US" w:eastAsia="en-US"/>
              </w:rPr>
            </w:pPr>
            <w:r>
              <w:rPr>
                <w:lang w:val="en-US" w:eastAsia="en-US"/>
              </w:rPr>
              <w:t>4</w:t>
            </w:r>
          </w:p>
        </w:tc>
        <w:tc>
          <w:tcPr>
            <w:tcW w:w="1493" w:type="dxa"/>
          </w:tcPr>
          <w:p w14:paraId="28B21E9C"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544D0E01"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2B1F1335" w14:textId="77777777" w:rsidR="00B63F33" w:rsidRDefault="00B63F33">
            <w:pPr>
              <w:pStyle w:val="BodyText"/>
              <w:spacing w:before="80" w:after="80"/>
              <w:jc w:val="center"/>
              <w:rPr>
                <w:lang w:val="en-US" w:eastAsia="en-US"/>
              </w:rPr>
            </w:pPr>
            <w:r>
              <w:rPr>
                <w:lang w:val="en-US" w:eastAsia="en-US"/>
              </w:rPr>
              <w:t>17</w:t>
            </w:r>
          </w:p>
        </w:tc>
        <w:tc>
          <w:tcPr>
            <w:tcW w:w="1519" w:type="dxa"/>
          </w:tcPr>
          <w:p w14:paraId="62309FBC"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7E6CD412" w14:textId="77777777" w:rsidR="00B63F33" w:rsidRDefault="00B63F33">
            <w:pPr>
              <w:pStyle w:val="BodyText"/>
              <w:spacing w:before="80" w:after="80"/>
              <w:jc w:val="center"/>
              <w:rPr>
                <w:lang w:val="en-US" w:eastAsia="en-US"/>
              </w:rPr>
            </w:pPr>
            <w:r>
              <w:rPr>
                <w:lang w:val="en-US" w:eastAsia="en-US"/>
              </w:rPr>
              <w:t>_____</w:t>
            </w:r>
          </w:p>
        </w:tc>
      </w:tr>
      <w:tr w:rsidR="00B63F33" w14:paraId="4950DA12" w14:textId="77777777" w:rsidTr="00691098">
        <w:tc>
          <w:tcPr>
            <w:tcW w:w="1503" w:type="dxa"/>
          </w:tcPr>
          <w:p w14:paraId="0E02B465" w14:textId="77777777" w:rsidR="00B63F33" w:rsidRDefault="00B63F33">
            <w:pPr>
              <w:pStyle w:val="BodyText"/>
              <w:spacing w:before="80" w:after="80"/>
              <w:jc w:val="center"/>
              <w:rPr>
                <w:lang w:val="en-US" w:eastAsia="en-US"/>
              </w:rPr>
            </w:pPr>
            <w:r>
              <w:rPr>
                <w:lang w:val="en-US" w:eastAsia="en-US"/>
              </w:rPr>
              <w:t>5</w:t>
            </w:r>
          </w:p>
        </w:tc>
        <w:tc>
          <w:tcPr>
            <w:tcW w:w="1493" w:type="dxa"/>
          </w:tcPr>
          <w:p w14:paraId="18CF3EE4"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61AC6D25"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2EE406C0" w14:textId="77777777" w:rsidR="00B63F33" w:rsidRDefault="00B63F33">
            <w:pPr>
              <w:pStyle w:val="BodyText"/>
              <w:spacing w:before="80" w:after="80"/>
              <w:jc w:val="center"/>
              <w:rPr>
                <w:lang w:val="en-US" w:eastAsia="en-US"/>
              </w:rPr>
            </w:pPr>
            <w:r>
              <w:rPr>
                <w:lang w:val="en-US" w:eastAsia="en-US"/>
              </w:rPr>
              <w:t>18</w:t>
            </w:r>
          </w:p>
        </w:tc>
        <w:tc>
          <w:tcPr>
            <w:tcW w:w="1519" w:type="dxa"/>
          </w:tcPr>
          <w:p w14:paraId="7CE3B336"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465F190D" w14:textId="77777777" w:rsidR="00B63F33" w:rsidRDefault="00B63F33">
            <w:pPr>
              <w:pStyle w:val="BodyText"/>
              <w:spacing w:before="80" w:after="80"/>
              <w:jc w:val="center"/>
              <w:rPr>
                <w:lang w:val="en-US" w:eastAsia="en-US"/>
              </w:rPr>
            </w:pPr>
            <w:r>
              <w:rPr>
                <w:lang w:val="en-US" w:eastAsia="en-US"/>
              </w:rPr>
              <w:t>_____</w:t>
            </w:r>
          </w:p>
        </w:tc>
      </w:tr>
      <w:tr w:rsidR="00B63F33" w14:paraId="590E91E8" w14:textId="77777777" w:rsidTr="00691098">
        <w:tc>
          <w:tcPr>
            <w:tcW w:w="1503" w:type="dxa"/>
          </w:tcPr>
          <w:p w14:paraId="3DCAAFEB" w14:textId="77777777" w:rsidR="00B63F33" w:rsidRDefault="00B63F33">
            <w:pPr>
              <w:pStyle w:val="BodyText"/>
              <w:spacing w:before="80" w:after="80"/>
              <w:jc w:val="center"/>
              <w:rPr>
                <w:lang w:val="en-US" w:eastAsia="en-US"/>
              </w:rPr>
            </w:pPr>
            <w:r>
              <w:rPr>
                <w:lang w:val="en-US" w:eastAsia="en-US"/>
              </w:rPr>
              <w:t>6</w:t>
            </w:r>
          </w:p>
        </w:tc>
        <w:tc>
          <w:tcPr>
            <w:tcW w:w="1493" w:type="dxa"/>
          </w:tcPr>
          <w:p w14:paraId="23CB99DF"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54DACF23"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6949445C" w14:textId="77777777" w:rsidR="00B63F33" w:rsidRDefault="00B63F33">
            <w:pPr>
              <w:pStyle w:val="BodyText"/>
              <w:spacing w:before="80" w:after="80"/>
              <w:jc w:val="center"/>
              <w:rPr>
                <w:lang w:val="en-US" w:eastAsia="en-US"/>
              </w:rPr>
            </w:pPr>
            <w:r>
              <w:rPr>
                <w:lang w:val="en-US" w:eastAsia="en-US"/>
              </w:rPr>
              <w:t>19</w:t>
            </w:r>
          </w:p>
        </w:tc>
        <w:tc>
          <w:tcPr>
            <w:tcW w:w="1519" w:type="dxa"/>
          </w:tcPr>
          <w:p w14:paraId="3AD064AC"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67B2FFDC" w14:textId="77777777" w:rsidR="00B63F33" w:rsidRDefault="00B63F33">
            <w:pPr>
              <w:pStyle w:val="BodyText"/>
              <w:spacing w:before="80" w:after="80"/>
              <w:jc w:val="center"/>
              <w:rPr>
                <w:lang w:val="en-US" w:eastAsia="en-US"/>
              </w:rPr>
            </w:pPr>
            <w:r>
              <w:rPr>
                <w:lang w:val="en-US" w:eastAsia="en-US"/>
              </w:rPr>
              <w:t>_____</w:t>
            </w:r>
          </w:p>
        </w:tc>
      </w:tr>
      <w:tr w:rsidR="00B63F33" w14:paraId="4CC601B1" w14:textId="77777777" w:rsidTr="00691098">
        <w:tc>
          <w:tcPr>
            <w:tcW w:w="1503" w:type="dxa"/>
          </w:tcPr>
          <w:p w14:paraId="1F005C35" w14:textId="77777777" w:rsidR="00B63F33" w:rsidRDefault="00B63F33">
            <w:pPr>
              <w:pStyle w:val="BodyText"/>
              <w:spacing w:before="80" w:after="80"/>
              <w:jc w:val="center"/>
              <w:rPr>
                <w:lang w:val="en-US" w:eastAsia="en-US"/>
              </w:rPr>
            </w:pPr>
            <w:r>
              <w:rPr>
                <w:lang w:val="en-US" w:eastAsia="en-US"/>
              </w:rPr>
              <w:t>7</w:t>
            </w:r>
          </w:p>
        </w:tc>
        <w:tc>
          <w:tcPr>
            <w:tcW w:w="1493" w:type="dxa"/>
          </w:tcPr>
          <w:p w14:paraId="6BDE1872"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425CBA49"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7A635982" w14:textId="77777777" w:rsidR="00B63F33" w:rsidRDefault="00B63F33">
            <w:pPr>
              <w:pStyle w:val="BodyText"/>
              <w:spacing w:before="80" w:after="80"/>
              <w:jc w:val="center"/>
              <w:rPr>
                <w:lang w:val="en-US" w:eastAsia="en-US"/>
              </w:rPr>
            </w:pPr>
            <w:r>
              <w:rPr>
                <w:lang w:val="en-US" w:eastAsia="en-US"/>
              </w:rPr>
              <w:t>20</w:t>
            </w:r>
          </w:p>
        </w:tc>
        <w:tc>
          <w:tcPr>
            <w:tcW w:w="1519" w:type="dxa"/>
          </w:tcPr>
          <w:p w14:paraId="506DCC02"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1F384544" w14:textId="77777777" w:rsidR="00B63F33" w:rsidRDefault="00B63F33">
            <w:pPr>
              <w:pStyle w:val="BodyText"/>
              <w:spacing w:before="80" w:after="80"/>
              <w:jc w:val="center"/>
              <w:rPr>
                <w:lang w:val="en-US" w:eastAsia="en-US"/>
              </w:rPr>
            </w:pPr>
            <w:r>
              <w:rPr>
                <w:lang w:val="en-US" w:eastAsia="en-US"/>
              </w:rPr>
              <w:t>_____</w:t>
            </w:r>
          </w:p>
        </w:tc>
      </w:tr>
      <w:tr w:rsidR="00B63F33" w14:paraId="29104A57" w14:textId="77777777" w:rsidTr="00691098">
        <w:tc>
          <w:tcPr>
            <w:tcW w:w="1503" w:type="dxa"/>
          </w:tcPr>
          <w:p w14:paraId="633BC1C9" w14:textId="77777777" w:rsidR="00B63F33" w:rsidRDefault="00B63F33">
            <w:pPr>
              <w:pStyle w:val="BodyText"/>
              <w:spacing w:before="80" w:after="80"/>
              <w:jc w:val="center"/>
              <w:rPr>
                <w:lang w:val="en-US" w:eastAsia="en-US"/>
              </w:rPr>
            </w:pPr>
            <w:r>
              <w:rPr>
                <w:lang w:val="en-US" w:eastAsia="en-US"/>
              </w:rPr>
              <w:t>8</w:t>
            </w:r>
          </w:p>
        </w:tc>
        <w:tc>
          <w:tcPr>
            <w:tcW w:w="1493" w:type="dxa"/>
          </w:tcPr>
          <w:p w14:paraId="068617BC"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6149475C"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534379E0" w14:textId="77777777" w:rsidR="00B63F33" w:rsidRDefault="00B63F33">
            <w:pPr>
              <w:pStyle w:val="BodyText"/>
              <w:spacing w:before="80" w:after="80"/>
              <w:jc w:val="center"/>
              <w:rPr>
                <w:lang w:val="en-US" w:eastAsia="en-US"/>
              </w:rPr>
            </w:pPr>
            <w:r>
              <w:rPr>
                <w:lang w:val="en-US" w:eastAsia="en-US"/>
              </w:rPr>
              <w:t>21</w:t>
            </w:r>
          </w:p>
        </w:tc>
        <w:tc>
          <w:tcPr>
            <w:tcW w:w="1519" w:type="dxa"/>
          </w:tcPr>
          <w:p w14:paraId="5EA75DF7"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55CCB388" w14:textId="77777777" w:rsidR="00B63F33" w:rsidRDefault="00B63F33">
            <w:pPr>
              <w:pStyle w:val="BodyText"/>
              <w:spacing w:before="80" w:after="80"/>
              <w:jc w:val="center"/>
              <w:rPr>
                <w:lang w:val="en-US" w:eastAsia="en-US"/>
              </w:rPr>
            </w:pPr>
            <w:r>
              <w:rPr>
                <w:lang w:val="en-US" w:eastAsia="en-US"/>
              </w:rPr>
              <w:t>_____</w:t>
            </w:r>
          </w:p>
        </w:tc>
      </w:tr>
      <w:tr w:rsidR="00B63F33" w14:paraId="2474D8A4" w14:textId="77777777" w:rsidTr="00691098">
        <w:tc>
          <w:tcPr>
            <w:tcW w:w="1503" w:type="dxa"/>
          </w:tcPr>
          <w:p w14:paraId="7100AE97" w14:textId="77777777" w:rsidR="00B63F33" w:rsidRDefault="00B63F33">
            <w:pPr>
              <w:pStyle w:val="BodyText"/>
              <w:spacing w:before="80" w:after="80"/>
              <w:jc w:val="center"/>
              <w:rPr>
                <w:lang w:val="en-US" w:eastAsia="en-US"/>
              </w:rPr>
            </w:pPr>
            <w:r>
              <w:rPr>
                <w:lang w:val="en-US" w:eastAsia="en-US"/>
              </w:rPr>
              <w:t>9</w:t>
            </w:r>
          </w:p>
        </w:tc>
        <w:tc>
          <w:tcPr>
            <w:tcW w:w="1493" w:type="dxa"/>
          </w:tcPr>
          <w:p w14:paraId="4236BF88"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495E94CE"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4C7F78DA" w14:textId="77777777" w:rsidR="00B63F33" w:rsidRDefault="00B63F33">
            <w:pPr>
              <w:pStyle w:val="BodyText"/>
              <w:spacing w:before="80" w:after="80"/>
              <w:jc w:val="center"/>
              <w:rPr>
                <w:lang w:val="en-US" w:eastAsia="en-US"/>
              </w:rPr>
            </w:pPr>
            <w:r>
              <w:rPr>
                <w:lang w:val="en-US" w:eastAsia="en-US"/>
              </w:rPr>
              <w:t>22</w:t>
            </w:r>
          </w:p>
        </w:tc>
        <w:tc>
          <w:tcPr>
            <w:tcW w:w="1519" w:type="dxa"/>
          </w:tcPr>
          <w:p w14:paraId="514C311D"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73051147" w14:textId="77777777" w:rsidR="00B63F33" w:rsidRDefault="00B63F33">
            <w:pPr>
              <w:pStyle w:val="BodyText"/>
              <w:spacing w:before="80" w:after="80"/>
              <w:jc w:val="center"/>
              <w:rPr>
                <w:lang w:val="en-US" w:eastAsia="en-US"/>
              </w:rPr>
            </w:pPr>
            <w:r>
              <w:rPr>
                <w:lang w:val="en-US" w:eastAsia="en-US"/>
              </w:rPr>
              <w:t>_____</w:t>
            </w:r>
          </w:p>
        </w:tc>
      </w:tr>
      <w:tr w:rsidR="00B63F33" w14:paraId="1DD7A9A3" w14:textId="77777777" w:rsidTr="00691098">
        <w:tc>
          <w:tcPr>
            <w:tcW w:w="1503" w:type="dxa"/>
          </w:tcPr>
          <w:p w14:paraId="31A7CB32" w14:textId="77777777" w:rsidR="00B63F33" w:rsidRDefault="00B63F33">
            <w:pPr>
              <w:pStyle w:val="BodyText"/>
              <w:spacing w:before="80" w:after="80"/>
              <w:jc w:val="center"/>
              <w:rPr>
                <w:lang w:val="en-US" w:eastAsia="en-US"/>
              </w:rPr>
            </w:pPr>
            <w:r>
              <w:rPr>
                <w:lang w:val="en-US" w:eastAsia="en-US"/>
              </w:rPr>
              <w:t>10</w:t>
            </w:r>
          </w:p>
        </w:tc>
        <w:tc>
          <w:tcPr>
            <w:tcW w:w="1493" w:type="dxa"/>
          </w:tcPr>
          <w:p w14:paraId="0D2AF8CF"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4497E727"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128BA7BA" w14:textId="77777777" w:rsidR="00B63F33" w:rsidRDefault="00B63F33">
            <w:pPr>
              <w:pStyle w:val="BodyText"/>
              <w:spacing w:before="80" w:after="80"/>
              <w:jc w:val="center"/>
              <w:rPr>
                <w:lang w:val="en-US" w:eastAsia="en-US"/>
              </w:rPr>
            </w:pPr>
            <w:r>
              <w:rPr>
                <w:lang w:val="en-US" w:eastAsia="en-US"/>
              </w:rPr>
              <w:t>23</w:t>
            </w:r>
          </w:p>
        </w:tc>
        <w:tc>
          <w:tcPr>
            <w:tcW w:w="1519" w:type="dxa"/>
          </w:tcPr>
          <w:p w14:paraId="12AE34E8"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403073CF" w14:textId="77777777" w:rsidR="00B63F33" w:rsidRDefault="00B63F33">
            <w:pPr>
              <w:pStyle w:val="BodyText"/>
              <w:spacing w:before="80" w:after="80"/>
              <w:jc w:val="center"/>
              <w:rPr>
                <w:lang w:val="en-US" w:eastAsia="en-US"/>
              </w:rPr>
            </w:pPr>
            <w:r>
              <w:rPr>
                <w:lang w:val="en-US" w:eastAsia="en-US"/>
              </w:rPr>
              <w:t>_____</w:t>
            </w:r>
          </w:p>
        </w:tc>
      </w:tr>
      <w:tr w:rsidR="00B63F33" w14:paraId="116F25E8" w14:textId="77777777" w:rsidTr="00691098">
        <w:tc>
          <w:tcPr>
            <w:tcW w:w="1503" w:type="dxa"/>
          </w:tcPr>
          <w:p w14:paraId="75939918" w14:textId="77777777" w:rsidR="00B63F33" w:rsidRDefault="00B63F33">
            <w:pPr>
              <w:pStyle w:val="BodyText"/>
              <w:spacing w:before="80" w:after="80"/>
              <w:jc w:val="center"/>
              <w:rPr>
                <w:lang w:val="en-US" w:eastAsia="en-US"/>
              </w:rPr>
            </w:pPr>
            <w:r>
              <w:rPr>
                <w:lang w:val="en-US" w:eastAsia="en-US"/>
              </w:rPr>
              <w:t>11</w:t>
            </w:r>
          </w:p>
        </w:tc>
        <w:tc>
          <w:tcPr>
            <w:tcW w:w="1493" w:type="dxa"/>
          </w:tcPr>
          <w:p w14:paraId="3A65277A"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55A8539A"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359C2472" w14:textId="77777777" w:rsidR="00B63F33" w:rsidRDefault="00B63F33">
            <w:pPr>
              <w:pStyle w:val="BodyText"/>
              <w:spacing w:before="80" w:after="80"/>
              <w:jc w:val="center"/>
              <w:rPr>
                <w:lang w:val="en-US" w:eastAsia="en-US"/>
              </w:rPr>
            </w:pPr>
            <w:r>
              <w:rPr>
                <w:lang w:val="en-US" w:eastAsia="en-US"/>
              </w:rPr>
              <w:t>24</w:t>
            </w:r>
          </w:p>
        </w:tc>
        <w:tc>
          <w:tcPr>
            <w:tcW w:w="1519" w:type="dxa"/>
          </w:tcPr>
          <w:p w14:paraId="422EF9AA"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1F2CB6D7" w14:textId="77777777" w:rsidR="00B63F33" w:rsidRDefault="00B63F33">
            <w:pPr>
              <w:pStyle w:val="BodyText"/>
              <w:spacing w:before="80" w:after="80"/>
              <w:jc w:val="center"/>
              <w:rPr>
                <w:lang w:val="en-US" w:eastAsia="en-US"/>
              </w:rPr>
            </w:pPr>
            <w:r>
              <w:rPr>
                <w:lang w:val="en-US" w:eastAsia="en-US"/>
              </w:rPr>
              <w:t>_____</w:t>
            </w:r>
          </w:p>
        </w:tc>
      </w:tr>
      <w:tr w:rsidR="00B63F33" w14:paraId="0F471DEF" w14:textId="77777777" w:rsidTr="00691098">
        <w:tc>
          <w:tcPr>
            <w:tcW w:w="1503" w:type="dxa"/>
          </w:tcPr>
          <w:p w14:paraId="700DF9EA" w14:textId="77777777" w:rsidR="00B63F33" w:rsidRDefault="00B63F33">
            <w:pPr>
              <w:pStyle w:val="BodyText"/>
              <w:spacing w:before="80" w:after="80"/>
              <w:jc w:val="center"/>
              <w:rPr>
                <w:lang w:val="en-US" w:eastAsia="en-US"/>
              </w:rPr>
            </w:pPr>
            <w:r>
              <w:rPr>
                <w:lang w:val="en-US" w:eastAsia="en-US"/>
              </w:rPr>
              <w:t>12</w:t>
            </w:r>
          </w:p>
        </w:tc>
        <w:tc>
          <w:tcPr>
            <w:tcW w:w="1493" w:type="dxa"/>
          </w:tcPr>
          <w:p w14:paraId="63396E88"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2D52403B"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4776F5B1" w14:textId="77777777" w:rsidR="00B63F33" w:rsidRDefault="00B63F33">
            <w:pPr>
              <w:pStyle w:val="BodyText"/>
              <w:spacing w:before="80" w:after="80"/>
              <w:jc w:val="center"/>
              <w:rPr>
                <w:lang w:val="en-US" w:eastAsia="en-US"/>
              </w:rPr>
            </w:pPr>
            <w:r>
              <w:rPr>
                <w:lang w:val="en-US" w:eastAsia="en-US"/>
              </w:rPr>
              <w:t>25</w:t>
            </w:r>
          </w:p>
        </w:tc>
        <w:tc>
          <w:tcPr>
            <w:tcW w:w="1519" w:type="dxa"/>
          </w:tcPr>
          <w:p w14:paraId="39BC7479" w14:textId="77777777" w:rsidR="00B63F33" w:rsidRDefault="00B63F33">
            <w:pPr>
              <w:pStyle w:val="BodyText"/>
              <w:spacing w:before="80" w:after="80"/>
              <w:jc w:val="center"/>
              <w:rPr>
                <w:lang w:val="en-US" w:eastAsia="en-US"/>
              </w:rPr>
            </w:pPr>
            <w:r>
              <w:rPr>
                <w:lang w:val="en-US" w:eastAsia="en-US"/>
              </w:rPr>
              <w:t>$ _____</w:t>
            </w:r>
          </w:p>
        </w:tc>
        <w:tc>
          <w:tcPr>
            <w:tcW w:w="1377" w:type="dxa"/>
          </w:tcPr>
          <w:p w14:paraId="0DCD1263" w14:textId="77777777" w:rsidR="00B63F33" w:rsidRDefault="00B63F33">
            <w:pPr>
              <w:pStyle w:val="BodyText"/>
              <w:spacing w:before="80" w:after="80"/>
              <w:jc w:val="center"/>
              <w:rPr>
                <w:lang w:val="en-US" w:eastAsia="en-US"/>
              </w:rPr>
            </w:pPr>
            <w:r>
              <w:rPr>
                <w:lang w:val="en-US" w:eastAsia="en-US"/>
              </w:rPr>
              <w:t>_____</w:t>
            </w:r>
          </w:p>
        </w:tc>
      </w:tr>
      <w:tr w:rsidR="00B63F33" w14:paraId="67D735E8" w14:textId="77777777" w:rsidTr="00691098">
        <w:tc>
          <w:tcPr>
            <w:tcW w:w="1503" w:type="dxa"/>
          </w:tcPr>
          <w:p w14:paraId="3654159E" w14:textId="77777777" w:rsidR="00B63F33" w:rsidRDefault="00B63F33">
            <w:pPr>
              <w:pStyle w:val="BodyText"/>
              <w:spacing w:before="80" w:after="80"/>
              <w:jc w:val="center"/>
              <w:rPr>
                <w:lang w:val="en-US" w:eastAsia="en-US"/>
              </w:rPr>
            </w:pPr>
            <w:r>
              <w:rPr>
                <w:lang w:val="en-US" w:eastAsia="en-US"/>
              </w:rPr>
              <w:t>13</w:t>
            </w:r>
          </w:p>
        </w:tc>
        <w:tc>
          <w:tcPr>
            <w:tcW w:w="1493" w:type="dxa"/>
          </w:tcPr>
          <w:p w14:paraId="52CE264A" w14:textId="77777777" w:rsidR="00B63F33" w:rsidRDefault="00B63F33">
            <w:pPr>
              <w:pStyle w:val="BodyText"/>
              <w:spacing w:before="80" w:after="80"/>
              <w:jc w:val="center"/>
              <w:rPr>
                <w:lang w:val="en-US" w:eastAsia="en-US"/>
              </w:rPr>
            </w:pPr>
            <w:r>
              <w:rPr>
                <w:lang w:val="en-US" w:eastAsia="en-US"/>
              </w:rPr>
              <w:t>$ _____</w:t>
            </w:r>
          </w:p>
        </w:tc>
        <w:tc>
          <w:tcPr>
            <w:tcW w:w="1518" w:type="dxa"/>
            <w:tcBorders>
              <w:right w:val="thinThickThinSmallGap" w:sz="24" w:space="0" w:color="auto"/>
            </w:tcBorders>
          </w:tcPr>
          <w:p w14:paraId="499FC132" w14:textId="77777777" w:rsidR="00B63F33" w:rsidRDefault="00B63F33">
            <w:pPr>
              <w:pStyle w:val="BodyText"/>
              <w:spacing w:before="80" w:after="80"/>
              <w:jc w:val="center"/>
              <w:rPr>
                <w:lang w:val="en-US" w:eastAsia="en-US"/>
              </w:rPr>
            </w:pPr>
            <w:r>
              <w:rPr>
                <w:lang w:val="en-US" w:eastAsia="en-US"/>
              </w:rPr>
              <w:t>_____</w:t>
            </w:r>
          </w:p>
        </w:tc>
        <w:tc>
          <w:tcPr>
            <w:tcW w:w="1516" w:type="dxa"/>
            <w:tcBorders>
              <w:left w:val="thinThickThinSmallGap" w:sz="24" w:space="0" w:color="auto"/>
            </w:tcBorders>
          </w:tcPr>
          <w:p w14:paraId="10C36C9D" w14:textId="77777777" w:rsidR="00B63F33" w:rsidRDefault="00B63F33">
            <w:pPr>
              <w:pStyle w:val="BodyText"/>
              <w:spacing w:before="80" w:after="80"/>
              <w:jc w:val="center"/>
              <w:rPr>
                <w:lang w:val="en-US" w:eastAsia="en-US"/>
              </w:rPr>
            </w:pPr>
          </w:p>
        </w:tc>
        <w:tc>
          <w:tcPr>
            <w:tcW w:w="1519" w:type="dxa"/>
          </w:tcPr>
          <w:p w14:paraId="342A8785" w14:textId="77777777" w:rsidR="00B63F33" w:rsidRDefault="00B63F33">
            <w:pPr>
              <w:pStyle w:val="BodyText"/>
              <w:spacing w:before="80" w:after="80"/>
              <w:jc w:val="center"/>
              <w:rPr>
                <w:lang w:val="en-US" w:eastAsia="en-US"/>
              </w:rPr>
            </w:pPr>
          </w:p>
        </w:tc>
        <w:tc>
          <w:tcPr>
            <w:tcW w:w="1377" w:type="dxa"/>
          </w:tcPr>
          <w:p w14:paraId="5E9DD3E7" w14:textId="77777777" w:rsidR="00B63F33" w:rsidRDefault="00B63F33">
            <w:pPr>
              <w:pStyle w:val="BodyText"/>
              <w:spacing w:before="80" w:after="80"/>
              <w:jc w:val="center"/>
              <w:rPr>
                <w:lang w:val="en-US" w:eastAsia="en-US"/>
              </w:rPr>
            </w:pPr>
          </w:p>
        </w:tc>
      </w:tr>
    </w:tbl>
    <w:p w14:paraId="463C0230" w14:textId="77777777" w:rsidR="00B63F33" w:rsidRDefault="00B63F33">
      <w:pPr>
        <w:spacing w:after="120"/>
        <w:jc w:val="center"/>
        <w:outlineLvl w:val="0"/>
        <w:sectPr w:rsidR="00B63F33">
          <w:headerReference w:type="even" r:id="rId89"/>
          <w:headerReference w:type="default" r:id="rId90"/>
          <w:footerReference w:type="even" r:id="rId91"/>
          <w:footerReference w:type="default" r:id="rId92"/>
          <w:headerReference w:type="first" r:id="rId93"/>
          <w:footerReference w:type="first" r:id="rId94"/>
          <w:pgSz w:w="12240" w:h="15840" w:code="1"/>
          <w:pgMar w:top="1440" w:right="1440" w:bottom="1440" w:left="1440" w:header="720" w:footer="720" w:gutter="0"/>
          <w:pgNumType w:start="1"/>
          <w:cols w:space="720"/>
        </w:sectPr>
      </w:pPr>
    </w:p>
    <w:p w14:paraId="5A6B340B" w14:textId="73770EAD" w:rsidR="00B63F33" w:rsidRDefault="004666F5" w:rsidP="005357FF">
      <w:pPr>
        <w:pStyle w:val="ExhibitTitle"/>
        <w:rPr>
          <w:rFonts w:cs="Arial"/>
        </w:rPr>
      </w:pPr>
      <w:bookmarkStart w:id="844" w:name="_Toc149813161"/>
      <w:bookmarkStart w:id="845" w:name="_Toc433954243"/>
      <w:bookmarkStart w:id="846" w:name="_Ref149814170"/>
      <w:bookmarkStart w:id="847" w:name="_Toc150954978"/>
      <w:r>
        <w:lastRenderedPageBreak/>
        <w:t xml:space="preserve">EXHIBIT </w:t>
      </w:r>
      <w:fldSimple w:instr=" SEQ EXHIBIT \* ALPHABETIC ">
        <w:r w:rsidR="00BC3574">
          <w:rPr>
            <w:noProof/>
          </w:rPr>
          <w:t>K</w:t>
        </w:r>
      </w:fldSimple>
      <w:r>
        <w:t xml:space="preserve"> - </w:t>
      </w:r>
      <w:r w:rsidR="00B63F33">
        <w:rPr>
          <w:rFonts w:cs="Arial"/>
        </w:rPr>
        <w:t>LENDER CONSENT PROVISIONS</w:t>
      </w:r>
      <w:bookmarkEnd w:id="844"/>
      <w:bookmarkEnd w:id="845"/>
      <w:bookmarkEnd w:id="846"/>
      <w:bookmarkEnd w:id="847"/>
    </w:p>
    <w:p w14:paraId="5DB86E19" w14:textId="77777777" w:rsidR="00B63F33" w:rsidRDefault="00B63F33">
      <w:pPr>
        <w:ind w:firstLine="720"/>
        <w:jc w:val="both"/>
        <w:rPr>
          <w:rFonts w:cs="Arial"/>
        </w:rPr>
      </w:pPr>
      <w:r>
        <w:rPr>
          <w:rFonts w:cs="Arial"/>
        </w:rPr>
        <w:t xml:space="preserve">In the event Seller collaterally assigns its rights hereunder to a Facility Lender as security, any related Lender Consent will contain provisions substantially as follows: </w:t>
      </w:r>
    </w:p>
    <w:p w14:paraId="0764A8B3" w14:textId="77777777" w:rsidR="00B63F33" w:rsidRDefault="00B63F33">
      <w:pPr>
        <w:ind w:left="90" w:firstLine="630"/>
        <w:rPr>
          <w:rFonts w:cs="Arial"/>
        </w:rPr>
      </w:pPr>
    </w:p>
    <w:p w14:paraId="3BA898EB" w14:textId="77777777" w:rsidR="00B63F33" w:rsidRDefault="00B63F33">
      <w:pPr>
        <w:numPr>
          <w:ilvl w:val="0"/>
          <w:numId w:val="32"/>
        </w:numPr>
        <w:spacing w:after="240"/>
        <w:ind w:left="540" w:hanging="540"/>
        <w:jc w:val="both"/>
        <w:rPr>
          <w:rFonts w:cs="Arial"/>
        </w:rPr>
      </w:pPr>
      <w:r>
        <w:rPr>
          <w:rFonts w:cs="Arial"/>
        </w:rPr>
        <w:t xml:space="preserve">Seller and Company will neither modify nor terminate the PPA in any material respect, without the prior written consent of the Facility Lender. </w:t>
      </w:r>
    </w:p>
    <w:p w14:paraId="4DFF4A8F" w14:textId="77777777" w:rsidR="00B63F33" w:rsidRDefault="00B63F33">
      <w:pPr>
        <w:numPr>
          <w:ilvl w:val="0"/>
          <w:numId w:val="32"/>
        </w:numPr>
        <w:spacing w:after="240"/>
        <w:ind w:left="540" w:hanging="540"/>
        <w:jc w:val="both"/>
        <w:rPr>
          <w:rFonts w:cs="Arial"/>
        </w:rPr>
      </w:pPr>
      <w:r>
        <w:rPr>
          <w:rFonts w:cs="Arial"/>
        </w:rPr>
        <w:t xml:space="preserve">The Facility Lender shall have the right, but no obligation, to do any act required to be performed by Seller under the PPA, and any such act performed by the Facility Lender shall be as effective to prevent or cure a default as if done by Seller itself. </w:t>
      </w:r>
    </w:p>
    <w:p w14:paraId="55DC2BF6" w14:textId="0C3D0DA6" w:rsidR="00B63F33" w:rsidRDefault="00B63F33">
      <w:pPr>
        <w:numPr>
          <w:ilvl w:val="0"/>
          <w:numId w:val="32"/>
        </w:numPr>
        <w:spacing w:after="240"/>
        <w:ind w:left="540" w:hanging="540"/>
        <w:jc w:val="both"/>
        <w:rPr>
          <w:rFonts w:cs="Arial"/>
        </w:rPr>
      </w:pPr>
      <w:r>
        <w:rPr>
          <w:rFonts w:cs="Arial"/>
        </w:rPr>
        <w:t xml:space="preserve">If Company becomes entitled to terminate the PPA due to an Event of Default by Seller, Company shall not terminate the PPA unless it has first given notice of such Event of Default to the Facility Lender and has given the Facility Lender the same cure period afforded to Seller under </w:t>
      </w:r>
      <w:r w:rsidR="00990857" w:rsidRPr="005357FF">
        <w:rPr>
          <w:rFonts w:cs="Arial"/>
          <w:u w:val="single"/>
        </w:rPr>
        <w:fldChar w:fldCharType="begin"/>
      </w:r>
      <w:r w:rsidR="00990857" w:rsidRPr="005357FF">
        <w:rPr>
          <w:rFonts w:cs="Arial"/>
          <w:u w:val="single"/>
        </w:rPr>
        <w:instrText xml:space="preserve"> REF _Ref149811990 \w \h </w:instrText>
      </w:r>
      <w:r w:rsidR="00990857">
        <w:rPr>
          <w:rFonts w:cs="Arial"/>
          <w:u w:val="single"/>
        </w:rPr>
        <w:instrText xml:space="preserve"> \* MERGEFORMAT </w:instrText>
      </w:r>
      <w:r w:rsidR="00990857" w:rsidRPr="005357FF">
        <w:rPr>
          <w:rFonts w:cs="Arial"/>
          <w:u w:val="single"/>
        </w:rPr>
      </w:r>
      <w:r w:rsidR="00990857" w:rsidRPr="005357FF">
        <w:rPr>
          <w:rFonts w:cs="Arial"/>
          <w:u w:val="single"/>
        </w:rPr>
        <w:fldChar w:fldCharType="separate"/>
      </w:r>
      <w:r w:rsidR="00990857" w:rsidRPr="005357FF">
        <w:rPr>
          <w:rFonts w:cs="Arial"/>
          <w:u w:val="single"/>
        </w:rPr>
        <w:t>Article 12</w:t>
      </w:r>
      <w:r w:rsidR="00990857" w:rsidRPr="005357FF">
        <w:rPr>
          <w:rFonts w:cs="Arial"/>
          <w:u w:val="single"/>
        </w:rPr>
        <w:fldChar w:fldCharType="end"/>
      </w:r>
      <w:r>
        <w:rPr>
          <w:rFonts w:cs="Arial"/>
        </w:rPr>
        <w:t xml:space="preserve"> of the PPA, plus an additional thirty (30) Days beyond Seller’s cure period to cure such Event of Default; </w:t>
      </w:r>
      <w:r>
        <w:rPr>
          <w:rFonts w:cs="Arial"/>
          <w:i/>
        </w:rPr>
        <w:t xml:space="preserve">provided, </w:t>
      </w:r>
      <w:r>
        <w:rPr>
          <w:rFonts w:cs="Arial"/>
        </w:rPr>
        <w:t xml:space="preserve"> that the total cure period shall in no event exceed one-hundred eighty (180) Days. If the Facility Lender requires possession of the Facility in order to cure the Event of Default, and if the Facility Lender diligently seeks possession, the Facility Lender’s additional 30-Day cure period shall not begin until foreclosure is completed, a receiver is appointed, any bankruptcy stay is removed, or possession is otherwise obtained by or on behalf of the Facility Lender.</w:t>
      </w:r>
    </w:p>
    <w:p w14:paraId="7A8F584D" w14:textId="77777777" w:rsidR="00B63F33" w:rsidRDefault="00B63F33">
      <w:pPr>
        <w:numPr>
          <w:ilvl w:val="0"/>
          <w:numId w:val="32"/>
        </w:numPr>
        <w:spacing w:after="240"/>
        <w:ind w:left="540" w:hanging="540"/>
        <w:jc w:val="both"/>
        <w:rPr>
          <w:rFonts w:cs="Arial"/>
        </w:rPr>
      </w:pPr>
      <w:r>
        <w:rPr>
          <w:rFonts w:cs="Arial"/>
        </w:rPr>
        <w:t xml:space="preserve">The Facility Lender shall provide to Company a copy of any notices of default and/or intent to exercise remedies delivered to Seller under the Financing Documents. </w:t>
      </w:r>
    </w:p>
    <w:p w14:paraId="683B7D4D" w14:textId="77777777" w:rsidR="00B63F33" w:rsidRDefault="00B63F33">
      <w:pPr>
        <w:numPr>
          <w:ilvl w:val="0"/>
          <w:numId w:val="32"/>
        </w:numPr>
        <w:spacing w:after="240"/>
        <w:ind w:left="540" w:hanging="540"/>
        <w:jc w:val="both"/>
        <w:rPr>
          <w:rFonts w:cs="Arial"/>
        </w:rPr>
      </w:pPr>
      <w:r>
        <w:rPr>
          <w:rFonts w:cs="Arial"/>
        </w:rPr>
        <w:t xml:space="preserve">Upon any foreclosure, deed-in-lieu or other exercise of the rights and remedies of the Facility Lender that results in a successor owner or operator of the Facility, the Facility Lender shall require and cause the successor </w:t>
      </w:r>
      <w:r>
        <w:t>(i)</w:t>
      </w:r>
      <w:r>
        <w:rPr>
          <w:rFonts w:cs="Arial"/>
        </w:rPr>
        <w:t xml:space="preserve"> to assume all of Seller’s prospective obligations under the PPA, </w:t>
      </w:r>
      <w:r>
        <w:t>(ii) to cure any</w:t>
      </w:r>
      <w:r>
        <w:rPr>
          <w:rFonts w:cs="Arial"/>
        </w:rPr>
        <w:t xml:space="preserve"> then-existing defaults by Seller that are capable of cure by performance or the payment of money damages, </w:t>
      </w:r>
      <w:r>
        <w:t>(iii) to have substantial experience in the operation of power generation facilities akin to the Facility, either directly, through its affiliates or through an operator acceptable to Company, and (iv) to enjoy (together with its parents and affiliates) an Investment Grade Credit Rating or other creditworthiness satisfactory to Company</w:t>
      </w:r>
      <w:r>
        <w:rPr>
          <w:rFonts w:cs="Arial"/>
        </w:rPr>
        <w:t xml:space="preserve">.  Except for the foregoing, the Facility Lender shall not be obligated to perform or be liable for any obligation of Seller under the PPA.  </w:t>
      </w:r>
    </w:p>
    <w:p w14:paraId="4D42F293" w14:textId="77777777" w:rsidR="00B63F33" w:rsidRDefault="00B63F33">
      <w:pPr>
        <w:numPr>
          <w:ilvl w:val="0"/>
          <w:numId w:val="32"/>
        </w:numPr>
        <w:spacing w:after="240"/>
        <w:ind w:left="540" w:hanging="540"/>
        <w:jc w:val="both"/>
      </w:pPr>
      <w:r>
        <w:rPr>
          <w:rFonts w:cs="Arial"/>
        </w:rPr>
        <w:t>Upon any rejection or other termination of the PPA in connection with any bankruptcy or insolvency of Seller, the Facility Lender (or its successor) and Company shall enter into a new power purchase agreement on the same terms and conditions as the PPA and for the period that would have been remaining under the PPA but for such termination.</w:t>
      </w:r>
    </w:p>
    <w:p w14:paraId="1C60D80E" w14:textId="77777777" w:rsidR="00B63F33" w:rsidRDefault="00B63F33">
      <w:pPr>
        <w:spacing w:after="240"/>
        <w:jc w:val="center"/>
      </w:pPr>
      <w:r>
        <w:t>*</w:t>
      </w:r>
      <w:r>
        <w:tab/>
      </w:r>
      <w:r>
        <w:tab/>
        <w:t>*</w:t>
      </w:r>
      <w:r>
        <w:tab/>
      </w:r>
      <w:r>
        <w:tab/>
        <w:t>*</w:t>
      </w:r>
      <w:r>
        <w:tab/>
      </w:r>
      <w:r>
        <w:tab/>
        <w:t>*</w:t>
      </w:r>
      <w:r>
        <w:tab/>
      </w:r>
      <w:r>
        <w:tab/>
        <w:t>*</w:t>
      </w:r>
    </w:p>
    <w:p w14:paraId="4A4D6515" w14:textId="77777777" w:rsidR="00B63F33" w:rsidRDefault="00B63F33">
      <w:pPr>
        <w:spacing w:after="240"/>
        <w:jc w:val="both"/>
        <w:sectPr w:rsidR="00B63F33">
          <w:headerReference w:type="even" r:id="rId95"/>
          <w:headerReference w:type="default" r:id="rId96"/>
          <w:footerReference w:type="even" r:id="rId97"/>
          <w:footerReference w:type="default" r:id="rId98"/>
          <w:headerReference w:type="first" r:id="rId99"/>
          <w:footerReference w:type="first" r:id="rId100"/>
          <w:pgSz w:w="12240" w:h="15840" w:code="1"/>
          <w:pgMar w:top="1440" w:right="1440" w:bottom="1440" w:left="1440" w:header="720" w:footer="720" w:gutter="0"/>
          <w:pgNumType w:start="1"/>
          <w:cols w:space="720"/>
        </w:sectPr>
      </w:pPr>
    </w:p>
    <w:p w14:paraId="7392970A" w14:textId="6DA84C23" w:rsidR="00A60BAC" w:rsidRDefault="00BC3574" w:rsidP="005357FF">
      <w:pPr>
        <w:pStyle w:val="ExhibitTitle"/>
      </w:pPr>
      <w:bookmarkStart w:id="848" w:name="_Toc149813162"/>
      <w:bookmarkStart w:id="849" w:name="_Ref149814228"/>
      <w:bookmarkStart w:id="850" w:name="_Toc150954979"/>
      <w:bookmarkStart w:id="851" w:name="_Hlk46988459"/>
      <w:bookmarkStart w:id="852" w:name="_Toc433954244"/>
      <w:r>
        <w:lastRenderedPageBreak/>
        <w:t xml:space="preserve">EXHIBIT </w:t>
      </w:r>
      <w:fldSimple w:instr=" SEQ EXHIBIT \* ALPHABETIC ">
        <w:r>
          <w:rPr>
            <w:noProof/>
          </w:rPr>
          <w:t>L</w:t>
        </w:r>
      </w:fldSimple>
      <w:r w:rsidR="00C05EBD">
        <w:rPr>
          <w:noProof/>
        </w:rPr>
        <w:t>-1</w:t>
      </w:r>
      <w:r>
        <w:t xml:space="preserve"> - </w:t>
      </w:r>
      <w:r w:rsidR="00B63F33">
        <w:t>EQUITY PURCHASE PRICE FORMULA</w:t>
      </w:r>
      <w:bookmarkEnd w:id="848"/>
      <w:bookmarkEnd w:id="849"/>
      <w:bookmarkEnd w:id="850"/>
    </w:p>
    <w:p w14:paraId="5A737DE7" w14:textId="77777777" w:rsidR="00A60BAC" w:rsidRDefault="00A60BAC" w:rsidP="00A60BAC">
      <w:pPr>
        <w:outlineLvl w:val="0"/>
      </w:pPr>
    </w:p>
    <w:p w14:paraId="162BA1DC" w14:textId="1AF3F271" w:rsidR="00A60BAC" w:rsidRDefault="004F374B" w:rsidP="00BA5C3F">
      <w:pPr>
        <w:spacing w:before="60"/>
        <w:ind w:left="153"/>
        <w:jc w:val="center"/>
        <w:sectPr w:rsidR="00A60BAC" w:rsidSect="00C05EBD">
          <w:headerReference w:type="even" r:id="rId101"/>
          <w:headerReference w:type="default" r:id="rId102"/>
          <w:footerReference w:type="even" r:id="rId103"/>
          <w:footerReference w:type="default" r:id="rId104"/>
          <w:headerReference w:type="first" r:id="rId105"/>
          <w:footerReference w:type="first" r:id="rId106"/>
          <w:pgSz w:w="12240" w:h="15840" w:code="1"/>
          <w:pgMar w:top="1440" w:right="1440" w:bottom="1440" w:left="1440" w:header="720" w:footer="720" w:gutter="0"/>
          <w:pgNumType w:start="1"/>
          <w:cols w:space="720"/>
        </w:sectPr>
      </w:pPr>
      <w:r>
        <w:rPr>
          <w:sz w:val="23"/>
          <w:szCs w:val="23"/>
        </w:rPr>
        <w:t xml:space="preserve">The “Equity Purchase Price” shall be determined in a manner substantially similar to the determination of the Purchase Price in </w:t>
      </w:r>
      <w:r w:rsidRPr="005357FF">
        <w:rPr>
          <w:sz w:val="23"/>
          <w:szCs w:val="23"/>
          <w:u w:val="single"/>
        </w:rPr>
        <w:t xml:space="preserve">Section </w:t>
      </w:r>
      <w:r w:rsidR="009720F4" w:rsidRPr="005357FF">
        <w:rPr>
          <w:sz w:val="23"/>
          <w:szCs w:val="23"/>
          <w:u w:val="single"/>
        </w:rPr>
        <w:fldChar w:fldCharType="begin"/>
      </w:r>
      <w:r w:rsidR="009720F4" w:rsidRPr="005357FF">
        <w:rPr>
          <w:sz w:val="23"/>
          <w:szCs w:val="23"/>
          <w:u w:val="single"/>
        </w:rPr>
        <w:instrText xml:space="preserve"> REF _Ref149810950 \w \h </w:instrText>
      </w:r>
      <w:r w:rsidR="009720F4">
        <w:rPr>
          <w:sz w:val="23"/>
          <w:szCs w:val="23"/>
          <w:u w:val="single"/>
        </w:rPr>
        <w:instrText xml:space="preserve"> \* MERGEFORMAT </w:instrText>
      </w:r>
      <w:r w:rsidR="009720F4" w:rsidRPr="005357FF">
        <w:rPr>
          <w:sz w:val="23"/>
          <w:szCs w:val="23"/>
          <w:u w:val="single"/>
        </w:rPr>
      </w:r>
      <w:r w:rsidR="009720F4" w:rsidRPr="005357FF">
        <w:rPr>
          <w:sz w:val="23"/>
          <w:szCs w:val="23"/>
          <w:u w:val="single"/>
        </w:rPr>
        <w:fldChar w:fldCharType="separate"/>
      </w:r>
      <w:r w:rsidR="009720F4" w:rsidRPr="005357FF">
        <w:rPr>
          <w:sz w:val="23"/>
          <w:szCs w:val="23"/>
          <w:u w:val="single"/>
        </w:rPr>
        <w:t>19.5(G)</w:t>
      </w:r>
      <w:r w:rsidR="009720F4" w:rsidRPr="005357FF">
        <w:rPr>
          <w:sz w:val="23"/>
          <w:szCs w:val="23"/>
          <w:u w:val="single"/>
        </w:rPr>
        <w:fldChar w:fldCharType="end"/>
      </w:r>
      <w:r>
        <w:rPr>
          <w:sz w:val="23"/>
          <w:szCs w:val="23"/>
        </w:rPr>
        <w:t>, modified as required to take into account the structure of the sale as an equity purchase.</w:t>
      </w:r>
      <w:r w:rsidDel="0064666A">
        <w:t xml:space="preserve"> </w:t>
      </w:r>
    </w:p>
    <w:p w14:paraId="01500A6B" w14:textId="2A7E11A8" w:rsidR="00B63F33" w:rsidRDefault="00BC3574" w:rsidP="005357FF">
      <w:pPr>
        <w:pStyle w:val="ExhibitTitle"/>
        <w:rPr>
          <w:rFonts w:cs="Arial"/>
        </w:rPr>
      </w:pPr>
      <w:bookmarkStart w:id="853" w:name="_Toc149813163"/>
      <w:bookmarkStart w:id="854" w:name="_Ref149814050"/>
      <w:bookmarkStart w:id="855" w:name="_Ref149814198"/>
      <w:bookmarkStart w:id="856" w:name="_Ref149814238"/>
      <w:bookmarkStart w:id="857" w:name="_Toc150954980"/>
      <w:r>
        <w:lastRenderedPageBreak/>
        <w:t xml:space="preserve">EXHIBIT </w:t>
      </w:r>
      <w:r w:rsidR="00C05EBD">
        <w:t>L-2</w:t>
      </w:r>
      <w:r>
        <w:t xml:space="preserve"> - </w:t>
      </w:r>
      <w:r w:rsidR="00B63F33">
        <w:rPr>
          <w:rFonts w:cs="Arial"/>
        </w:rPr>
        <w:t>PSA PROVISIONS</w:t>
      </w:r>
      <w:bookmarkEnd w:id="853"/>
      <w:bookmarkEnd w:id="854"/>
      <w:bookmarkEnd w:id="855"/>
      <w:bookmarkEnd w:id="856"/>
      <w:bookmarkEnd w:id="857"/>
      <w:r w:rsidR="00B63F33">
        <w:rPr>
          <w:rFonts w:cs="Arial"/>
        </w:rPr>
        <w:t xml:space="preserve"> </w:t>
      </w:r>
    </w:p>
    <w:p w14:paraId="76AC5667" w14:textId="358F13D8" w:rsidR="00B63F33" w:rsidRPr="002B1839" w:rsidRDefault="00B63F33">
      <w:pPr>
        <w:spacing w:after="200"/>
        <w:ind w:firstLine="720"/>
        <w:jc w:val="both"/>
        <w:rPr>
          <w:rFonts w:cs="Arial"/>
          <w:sz w:val="23"/>
          <w:szCs w:val="23"/>
        </w:rPr>
      </w:pPr>
      <w:r>
        <w:rPr>
          <w:rFonts w:cs="Arial"/>
          <w:sz w:val="23"/>
          <w:szCs w:val="23"/>
        </w:rPr>
        <w:t>Any PSA executed to implement exercise of Company’s ROFO</w:t>
      </w:r>
      <w:r w:rsidR="00F57CE0" w:rsidRPr="00F57CE0">
        <w:t xml:space="preserve"> </w:t>
      </w:r>
      <w:r w:rsidR="00F57CE0" w:rsidRPr="00F57CE0">
        <w:rPr>
          <w:rFonts w:cs="Arial"/>
          <w:sz w:val="23"/>
          <w:szCs w:val="23"/>
        </w:rPr>
        <w:t>or Option</w:t>
      </w:r>
      <w:r w:rsidR="00051FE7">
        <w:rPr>
          <w:rFonts w:cs="Arial"/>
          <w:sz w:val="23"/>
          <w:szCs w:val="23"/>
        </w:rPr>
        <w:t xml:space="preserve"> </w:t>
      </w:r>
      <w:r w:rsidRPr="002B1839">
        <w:rPr>
          <w:rFonts w:cs="Arial"/>
          <w:sz w:val="23"/>
          <w:szCs w:val="23"/>
        </w:rPr>
        <w:t>rights will include provisions substantially as follows:</w:t>
      </w:r>
    </w:p>
    <w:p w14:paraId="4C7B9BB7" w14:textId="77777777" w:rsidR="00B63F33" w:rsidRDefault="00B63F33">
      <w:pPr>
        <w:pStyle w:val="Header"/>
        <w:spacing w:after="120"/>
        <w:rPr>
          <w:rFonts w:cs="Arial"/>
          <w:b/>
          <w:bCs/>
          <w:u w:val="single"/>
        </w:rPr>
      </w:pPr>
      <w:bookmarkStart w:id="858" w:name="_Hlk67390271"/>
      <w:r>
        <w:rPr>
          <w:rFonts w:cs="Arial"/>
          <w:b/>
          <w:bCs/>
          <w:u w:val="single"/>
        </w:rPr>
        <w:t>Type of Transaction</w:t>
      </w:r>
    </w:p>
    <w:p w14:paraId="3D1188E2" w14:textId="7168B7BC" w:rsidR="00B63F33" w:rsidRDefault="00B63F33">
      <w:pPr>
        <w:pStyle w:val="BodyText"/>
        <w:rPr>
          <w:rFonts w:cs="Arial"/>
        </w:rPr>
      </w:pPr>
      <w:bookmarkStart w:id="859" w:name="_DV_C5"/>
      <w:r>
        <w:rPr>
          <w:rStyle w:val="DeltaViewInsertion"/>
          <w:rFonts w:cs="Arial"/>
          <w:color w:val="auto"/>
          <w:u w:val="none"/>
        </w:rPr>
        <w:t xml:space="preserve">The transaction will be structured as an asset acquisition. </w:t>
      </w:r>
      <w:bookmarkStart w:id="860" w:name="_DV_M7"/>
      <w:bookmarkEnd w:id="859"/>
      <w:bookmarkEnd w:id="860"/>
      <w:r>
        <w:rPr>
          <w:rStyle w:val="DeltaViewInsertion"/>
          <w:rFonts w:cs="Arial"/>
          <w:color w:val="auto"/>
          <w:u w:val="none"/>
          <w:lang w:val="en-US"/>
        </w:rPr>
        <w:t>Company (“</w:t>
      </w:r>
      <w:r>
        <w:rPr>
          <w:rFonts w:cs="Arial"/>
        </w:rPr>
        <w:t>Buyer</w:t>
      </w:r>
      <w:r>
        <w:rPr>
          <w:rFonts w:cs="Arial"/>
          <w:lang w:val="en-US"/>
        </w:rPr>
        <w:t>”)</w:t>
      </w:r>
      <w:r>
        <w:rPr>
          <w:rFonts w:cs="Arial"/>
        </w:rPr>
        <w:t xml:space="preserve"> shall purchase</w:t>
      </w:r>
      <w:bookmarkStart w:id="861" w:name="_DV_C6"/>
      <w:r>
        <w:rPr>
          <w:rStyle w:val="DeltaViewInsertion"/>
          <w:rFonts w:cs="Arial"/>
          <w:color w:val="auto"/>
          <w:u w:val="none"/>
        </w:rPr>
        <w:t xml:space="preserve"> and Seller shall sell</w:t>
      </w:r>
      <w:bookmarkStart w:id="862" w:name="_DV_M8"/>
      <w:bookmarkEnd w:id="861"/>
      <w:bookmarkEnd w:id="862"/>
      <w:r>
        <w:rPr>
          <w:rFonts w:cs="Arial"/>
        </w:rPr>
        <w:t xml:space="preserve"> 100% of the assets (“Assets”)of a completed, commercially operational, integrated [</w:t>
      </w:r>
      <w:r>
        <w:rPr>
          <w:rFonts w:cs="Arial"/>
          <w:highlight w:val="yellow"/>
        </w:rPr>
        <w:t>wind-powered]/solar-powered</w:t>
      </w:r>
      <w:r>
        <w:rPr>
          <w:rFonts w:cs="Arial"/>
        </w:rPr>
        <w:t>] electricity generating plant with nameplate capacity of [</w:t>
      </w:r>
      <w:r>
        <w:rPr>
          <w:rFonts w:cs="Arial"/>
          <w:highlight w:val="yellow"/>
        </w:rPr>
        <w:t>XX</w:t>
      </w:r>
      <w:r>
        <w:rPr>
          <w:rFonts w:cs="Arial"/>
        </w:rPr>
        <w:t xml:space="preserve">] MW </w:t>
      </w:r>
      <w:bookmarkStart w:id="863" w:name="_cp_change_287"/>
      <w:r w:rsidRPr="00C62D5D">
        <w:rPr>
          <w:rFonts w:cs="Arial"/>
          <w:u w:val="double" w:color="0000FF"/>
          <w:lang w:val="en-US"/>
        </w:rPr>
        <w:t>[</w:t>
      </w:r>
      <w:r w:rsidRPr="00C62D5D">
        <w:rPr>
          <w:rFonts w:cs="Arial"/>
          <w:highlight w:val="yellow"/>
          <w:u w:val="double" w:color="0000FF"/>
          <w:lang w:val="en-US"/>
        </w:rPr>
        <w:t>solar</w:t>
      </w:r>
      <w:r w:rsidRPr="00C62D5D">
        <w:rPr>
          <w:rFonts w:cs="Arial"/>
          <w:u w:val="double" w:color="0000FF"/>
          <w:lang w:val="en-US"/>
        </w:rPr>
        <w:t xml:space="preserve"> </w:t>
      </w:r>
      <w:bookmarkEnd w:id="863"/>
      <w:r w:rsidRPr="00C62D5D">
        <w:rPr>
          <w:rFonts w:cs="Arial"/>
        </w:rPr>
        <w:t>AC</w:t>
      </w:r>
      <w:bookmarkStart w:id="864" w:name="_cp_change_288"/>
      <w:r w:rsidRPr="00C62D5D">
        <w:rPr>
          <w:rFonts w:cs="Arial"/>
          <w:u w:val="double" w:color="0000FF"/>
          <w:lang w:val="en-US"/>
        </w:rPr>
        <w:t>]</w:t>
      </w:r>
      <w:bookmarkEnd w:id="864"/>
      <w:r w:rsidRPr="00C62D5D">
        <w:rPr>
          <w:rFonts w:cs="Arial"/>
        </w:rPr>
        <w:t xml:space="preserve"> </w:t>
      </w:r>
      <w:r>
        <w:rPr>
          <w:rFonts w:cs="Arial"/>
        </w:rPr>
        <w:t xml:space="preserve">and all facilities </w:t>
      </w:r>
      <w:r w:rsidRPr="0018162E">
        <w:rPr>
          <w:rFonts w:cs="Arial"/>
          <w:color w:val="000000" w:themeColor="text1"/>
        </w:rPr>
        <w:t xml:space="preserve">[including energy storage facilities] and all other assets and rights relating to the project </w:t>
      </w:r>
      <w:bookmarkStart w:id="865" w:name="_cp_change_289"/>
      <w:r w:rsidRPr="0018162E">
        <w:rPr>
          <w:rFonts w:cs="Arial"/>
          <w:color w:val="000000" w:themeColor="text1"/>
          <w:lang w:val="en-US"/>
        </w:rPr>
        <w:t xml:space="preserve">including any permits or other instruments necessary to operate and maintain the plant as designed and constructed </w:t>
      </w:r>
      <w:bookmarkEnd w:id="865"/>
      <w:r w:rsidRPr="0018162E">
        <w:rPr>
          <w:rFonts w:cs="Arial"/>
          <w:color w:val="000000" w:themeColor="text1"/>
        </w:rPr>
        <w:t xml:space="preserve">(the “Project”), free and clear of all encumbrances and </w:t>
      </w:r>
      <w:r>
        <w:rPr>
          <w:rFonts w:cs="Arial"/>
        </w:rPr>
        <w:t xml:space="preserve">liabilities, except for permitted encumbrances and assumed liabilities as defined in the </w:t>
      </w:r>
      <w:r>
        <w:rPr>
          <w:rFonts w:cs="Arial"/>
          <w:lang w:val="en-US"/>
        </w:rPr>
        <w:t>PSA</w:t>
      </w:r>
      <w:r>
        <w:rPr>
          <w:rFonts w:cs="Arial"/>
        </w:rPr>
        <w:t>.</w:t>
      </w:r>
    </w:p>
    <w:p w14:paraId="64BD11ED" w14:textId="77777777" w:rsidR="00B63F33" w:rsidRPr="002B1839" w:rsidRDefault="00B63F33">
      <w:pPr>
        <w:pStyle w:val="tabletxt"/>
        <w:widowControl/>
        <w:rPr>
          <w:b/>
          <w:bCs/>
          <w:sz w:val="24"/>
          <w:szCs w:val="24"/>
          <w:u w:val="single"/>
        </w:rPr>
      </w:pPr>
      <w:bookmarkStart w:id="866" w:name="_DV_M9"/>
      <w:bookmarkEnd w:id="866"/>
      <w:r>
        <w:rPr>
          <w:b/>
          <w:bCs/>
          <w:sz w:val="24"/>
          <w:szCs w:val="24"/>
          <w:u w:val="single"/>
        </w:rPr>
        <w:t>Purchase Price</w:t>
      </w:r>
      <w:bookmarkStart w:id="867" w:name="_DV_C7"/>
      <w:r>
        <w:rPr>
          <w:rStyle w:val="DeltaViewInsertion"/>
          <w:b/>
          <w:bCs/>
          <w:color w:val="auto"/>
          <w:sz w:val="24"/>
          <w:szCs w:val="24"/>
          <w:u w:val="single"/>
        </w:rPr>
        <w:t xml:space="preserve"> and Payment </w:t>
      </w:r>
      <w:r w:rsidRPr="002B1839">
        <w:rPr>
          <w:rStyle w:val="DeltaViewInsertion"/>
          <w:b/>
          <w:bCs/>
          <w:color w:val="auto"/>
          <w:sz w:val="24"/>
          <w:szCs w:val="24"/>
          <w:u w:val="single"/>
        </w:rPr>
        <w:t>Terms</w:t>
      </w:r>
      <w:bookmarkEnd w:id="867"/>
    </w:p>
    <w:p w14:paraId="4465AA68" w14:textId="17BA2695" w:rsidR="00B63F33" w:rsidRDefault="00B63F33">
      <w:pPr>
        <w:pStyle w:val="tabletxt"/>
        <w:widowControl/>
        <w:spacing w:before="0" w:after="0"/>
        <w:rPr>
          <w:rStyle w:val="DeltaViewInsertion"/>
          <w:color w:val="auto"/>
          <w:sz w:val="24"/>
          <w:szCs w:val="24"/>
          <w:u w:val="none"/>
        </w:rPr>
      </w:pPr>
      <w:bookmarkStart w:id="868" w:name="_DV_C8"/>
      <w:r w:rsidRPr="002B1839">
        <w:rPr>
          <w:rStyle w:val="DeltaViewInsertion"/>
          <w:color w:val="auto"/>
          <w:sz w:val="24"/>
          <w:szCs w:val="24"/>
          <w:u w:val="none"/>
        </w:rPr>
        <w:t xml:space="preserve">Buyer shall pay Seller </w:t>
      </w:r>
      <w:bookmarkStart w:id="869" w:name="_DV_M10"/>
      <w:bookmarkEnd w:id="868"/>
      <w:bookmarkEnd w:id="869"/>
      <w:r w:rsidRPr="002B1839">
        <w:rPr>
          <w:rStyle w:val="DeltaViewInsertion"/>
          <w:color w:val="auto"/>
          <w:sz w:val="24"/>
          <w:szCs w:val="24"/>
          <w:u w:val="none"/>
        </w:rPr>
        <w:t xml:space="preserve">the “Purchase Price,” </w:t>
      </w:r>
      <w:r w:rsidRPr="002B1839">
        <w:rPr>
          <w:sz w:val="24"/>
          <w:szCs w:val="24"/>
        </w:rPr>
        <w:t xml:space="preserve">which </w:t>
      </w:r>
      <w:r>
        <w:rPr>
          <w:sz w:val="24"/>
          <w:szCs w:val="24"/>
        </w:rPr>
        <w:t xml:space="preserve">is </w:t>
      </w:r>
      <w:proofErr w:type="gramStart"/>
      <w:r>
        <w:rPr>
          <w:sz w:val="24"/>
          <w:szCs w:val="24"/>
        </w:rPr>
        <w:t>determined</w:t>
      </w:r>
      <w:proofErr w:type="gramEnd"/>
      <w:r>
        <w:rPr>
          <w:sz w:val="24"/>
          <w:szCs w:val="24"/>
        </w:rPr>
        <w:t xml:space="preserve"> pursuant to </w:t>
      </w:r>
      <w:r>
        <w:rPr>
          <w:sz w:val="24"/>
          <w:u w:val="single"/>
        </w:rPr>
        <w:t xml:space="preserve">Section </w:t>
      </w:r>
      <w:r w:rsidR="009720F4">
        <w:rPr>
          <w:sz w:val="24"/>
          <w:u w:val="single"/>
        </w:rPr>
        <w:fldChar w:fldCharType="begin"/>
      </w:r>
      <w:r w:rsidR="009720F4">
        <w:rPr>
          <w:sz w:val="24"/>
          <w:u w:val="single"/>
        </w:rPr>
        <w:instrText xml:space="preserve"> REF _Ref149812097 \w \h </w:instrText>
      </w:r>
      <w:r w:rsidR="009720F4">
        <w:rPr>
          <w:sz w:val="24"/>
          <w:u w:val="single"/>
        </w:rPr>
      </w:r>
      <w:r w:rsidR="009720F4">
        <w:rPr>
          <w:sz w:val="24"/>
          <w:u w:val="single"/>
        </w:rPr>
        <w:fldChar w:fldCharType="separate"/>
      </w:r>
      <w:r w:rsidR="009720F4">
        <w:rPr>
          <w:sz w:val="24"/>
          <w:u w:val="single"/>
        </w:rPr>
        <w:t>19.5(C)</w:t>
      </w:r>
      <w:r w:rsidR="009720F4">
        <w:rPr>
          <w:sz w:val="24"/>
          <w:u w:val="single"/>
        </w:rPr>
        <w:fldChar w:fldCharType="end"/>
      </w:r>
      <w:r>
        <w:rPr>
          <w:sz w:val="24"/>
          <w:szCs w:val="24"/>
        </w:rPr>
        <w:t xml:space="preserve"> of this PPA</w:t>
      </w:r>
      <w:bookmarkStart w:id="870" w:name="_DV_M11"/>
      <w:bookmarkStart w:id="871" w:name="_DV_M12"/>
      <w:bookmarkStart w:id="872" w:name="_DV_M13"/>
      <w:bookmarkEnd w:id="870"/>
      <w:bookmarkEnd w:id="871"/>
      <w:bookmarkEnd w:id="872"/>
      <w:r>
        <w:rPr>
          <w:rStyle w:val="DeltaViewInsertion"/>
          <w:color w:val="auto"/>
          <w:sz w:val="24"/>
          <w:szCs w:val="24"/>
          <w:u w:val="none"/>
        </w:rPr>
        <w:t>.</w:t>
      </w:r>
    </w:p>
    <w:p w14:paraId="0B47348C" w14:textId="77777777" w:rsidR="00B63F33" w:rsidRDefault="00B63F33">
      <w:pPr>
        <w:pStyle w:val="tabletxt"/>
        <w:widowControl/>
        <w:spacing w:before="0" w:after="0"/>
        <w:rPr>
          <w:rStyle w:val="DeltaViewInsertion"/>
          <w:color w:val="auto"/>
          <w:sz w:val="24"/>
          <w:szCs w:val="24"/>
          <w:u w:val="none"/>
        </w:rPr>
      </w:pPr>
    </w:p>
    <w:p w14:paraId="45B78D64" w14:textId="43329C39" w:rsidR="00B63F33" w:rsidRDefault="00B63F33">
      <w:pPr>
        <w:pStyle w:val="tabletxt"/>
        <w:widowControl/>
        <w:spacing w:before="0" w:after="0"/>
        <w:rPr>
          <w:rStyle w:val="DeltaViewInsertion"/>
          <w:color w:val="auto"/>
          <w:sz w:val="24"/>
          <w:szCs w:val="24"/>
          <w:u w:val="none"/>
        </w:rPr>
      </w:pPr>
      <w:r>
        <w:rPr>
          <w:rStyle w:val="DeltaViewInsertion"/>
          <w:color w:val="auto"/>
          <w:sz w:val="24"/>
          <w:szCs w:val="24"/>
          <w:u w:val="none"/>
        </w:rPr>
        <w:t xml:space="preserve">Buyer shall be entitled to withhold from the payment of the Purchase Price a total amount not to exceed 20% of the Purchase Price in the event of certain breaches of Seller’s representations, warranties or covenants pending Seller’s cure of any such breach. </w:t>
      </w:r>
    </w:p>
    <w:p w14:paraId="2DB80773" w14:textId="77777777" w:rsidR="00B63F33" w:rsidRDefault="00B63F33">
      <w:pPr>
        <w:pStyle w:val="tabletxt"/>
        <w:widowControl/>
        <w:spacing w:before="0" w:after="0"/>
        <w:rPr>
          <w:rStyle w:val="DeltaViewInsertion"/>
          <w:color w:val="auto"/>
          <w:sz w:val="24"/>
          <w:szCs w:val="24"/>
          <w:u w:val="none"/>
        </w:rPr>
      </w:pPr>
    </w:p>
    <w:p w14:paraId="0802A39E" w14:textId="77777777" w:rsidR="00B63F33" w:rsidRDefault="00B63F33">
      <w:pPr>
        <w:pStyle w:val="tabletxt"/>
        <w:widowControl/>
        <w:spacing w:before="0" w:after="0"/>
        <w:rPr>
          <w:sz w:val="24"/>
          <w:szCs w:val="24"/>
        </w:rPr>
      </w:pPr>
      <w:r>
        <w:rPr>
          <w:rStyle w:val="DeltaViewInsertion"/>
          <w:color w:val="auto"/>
          <w:sz w:val="24"/>
          <w:szCs w:val="24"/>
          <w:u w:val="none"/>
        </w:rPr>
        <w:t>Seller shall be responsible for all taxes relating to the pre-closing period and all transfer taxes and any sales, use or other taxes related to the purchase and sale of the Assets and any purchase or conveyance of real or personal property to be used in the Project.</w:t>
      </w:r>
    </w:p>
    <w:p w14:paraId="684B99E5" w14:textId="77777777" w:rsidR="00B63F33" w:rsidRDefault="00B63F33">
      <w:pPr>
        <w:pStyle w:val="Header"/>
        <w:jc w:val="both"/>
        <w:rPr>
          <w:rFonts w:cs="Arial"/>
          <w:b/>
          <w:bCs/>
        </w:rPr>
      </w:pPr>
      <w:bookmarkStart w:id="873" w:name="_DV_M14"/>
      <w:bookmarkStart w:id="874" w:name="_DV_M15"/>
      <w:bookmarkStart w:id="875" w:name="_DV_M16"/>
      <w:bookmarkStart w:id="876" w:name="_DV_M17"/>
      <w:bookmarkStart w:id="877" w:name="_DV_M20"/>
      <w:bookmarkStart w:id="878" w:name="_DV_M21"/>
      <w:bookmarkStart w:id="879" w:name="_DV_M24"/>
      <w:bookmarkStart w:id="880" w:name="_DV_M25"/>
      <w:bookmarkStart w:id="881" w:name="_DV_M29"/>
      <w:bookmarkStart w:id="882" w:name="_DV_M35"/>
      <w:bookmarkStart w:id="883" w:name="_DV_M36"/>
      <w:bookmarkStart w:id="884" w:name="_DV_M37"/>
      <w:bookmarkStart w:id="885" w:name="_DV_M38"/>
      <w:bookmarkStart w:id="886" w:name="_DV_M39"/>
      <w:bookmarkStart w:id="887" w:name="_DV_M40"/>
      <w:bookmarkStart w:id="888" w:name="_DV_M41"/>
      <w:bookmarkStart w:id="889" w:name="_DV_M42"/>
      <w:bookmarkStart w:id="890" w:name="_DV_M43"/>
      <w:bookmarkStart w:id="891" w:name="_DV_M44"/>
      <w:bookmarkStart w:id="892" w:name="_DV_M45"/>
      <w:bookmarkStart w:id="893" w:name="_DV_M47"/>
      <w:bookmarkStart w:id="894" w:name="_DV_M48"/>
      <w:bookmarkStart w:id="895" w:name="_DV_M50"/>
      <w:bookmarkStart w:id="896" w:name="_DV_M51"/>
      <w:bookmarkStart w:id="897" w:name="_DV_M52"/>
      <w:bookmarkStart w:id="898" w:name="_DV_M53"/>
      <w:bookmarkStart w:id="899" w:name="_DV_M54"/>
      <w:bookmarkStart w:id="900" w:name="_DV_M55"/>
      <w:bookmarkStart w:id="901" w:name="_DV_M56"/>
      <w:bookmarkStart w:id="902" w:name="_DV_M57"/>
      <w:bookmarkStart w:id="903" w:name="_DV_M59"/>
      <w:bookmarkStart w:id="904" w:name="_DV_M60"/>
      <w:bookmarkStart w:id="905" w:name="_DV_M61"/>
      <w:bookmarkStart w:id="906" w:name="_DV_M62"/>
      <w:bookmarkStart w:id="907" w:name="_DV_M63"/>
      <w:bookmarkStart w:id="908" w:name="_DV_M64"/>
      <w:bookmarkStart w:id="909" w:name="_DV_M65"/>
      <w:bookmarkStart w:id="910" w:name="_DV_M66"/>
      <w:bookmarkStart w:id="911" w:name="_DV_M67"/>
      <w:bookmarkStart w:id="912" w:name="_DV_M68"/>
      <w:bookmarkStart w:id="913" w:name="_DV_M69"/>
      <w:bookmarkStart w:id="914" w:name="_DV_M70"/>
      <w:bookmarkStart w:id="915" w:name="_DV_M71"/>
      <w:bookmarkStart w:id="916" w:name="_DV_M72"/>
      <w:bookmarkStart w:id="917" w:name="_DV_M73"/>
      <w:bookmarkStart w:id="918" w:name="_DV_M74"/>
      <w:bookmarkStart w:id="919" w:name="_DV_M75"/>
      <w:bookmarkStart w:id="920" w:name="_DV_M76"/>
      <w:bookmarkStart w:id="921" w:name="_DV_M77"/>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p>
    <w:p w14:paraId="375BDA8E" w14:textId="77777777" w:rsidR="00B63F33" w:rsidRDefault="00B63F33">
      <w:pPr>
        <w:pStyle w:val="tabletxt"/>
        <w:widowControl/>
        <w:spacing w:before="0" w:after="120"/>
        <w:rPr>
          <w:b/>
          <w:bCs/>
          <w:sz w:val="24"/>
          <w:szCs w:val="24"/>
          <w:u w:val="single"/>
        </w:rPr>
      </w:pPr>
      <w:bookmarkStart w:id="922" w:name="_DV_M78"/>
      <w:bookmarkEnd w:id="922"/>
      <w:r>
        <w:rPr>
          <w:b/>
          <w:bCs/>
          <w:sz w:val="24"/>
          <w:szCs w:val="24"/>
          <w:u w:val="single"/>
        </w:rPr>
        <w:t>Seller’s Closing Deliverables:</w:t>
      </w:r>
    </w:p>
    <w:p w14:paraId="59DC56CC" w14:textId="77777777" w:rsidR="00B63F33" w:rsidRDefault="00B63F33">
      <w:pPr>
        <w:pStyle w:val="tabletxt"/>
        <w:widowControl/>
        <w:spacing w:before="0" w:after="120"/>
        <w:rPr>
          <w:bCs/>
          <w:sz w:val="24"/>
          <w:szCs w:val="24"/>
        </w:rPr>
      </w:pPr>
      <w:r>
        <w:rPr>
          <w:bCs/>
          <w:sz w:val="24"/>
          <w:szCs w:val="24"/>
        </w:rPr>
        <w:t>Upon the terms and conditions to be defined within the PSA, the obligations of Buyer to consummate the transactions contemplated are subject to the satisfaction by Seller of certain closing conditions, including:</w:t>
      </w:r>
    </w:p>
    <w:p w14:paraId="74FAA872" w14:textId="77777777" w:rsidR="00B63F33" w:rsidRDefault="00B63F33" w:rsidP="007C5A7E">
      <w:pPr>
        <w:pStyle w:val="tabletxt"/>
        <w:widowControl/>
        <w:numPr>
          <w:ilvl w:val="0"/>
          <w:numId w:val="35"/>
        </w:numPr>
        <w:spacing w:before="0"/>
        <w:ind w:left="720"/>
        <w:rPr>
          <w:sz w:val="24"/>
          <w:szCs w:val="24"/>
        </w:rPr>
      </w:pPr>
      <w:bookmarkStart w:id="923" w:name="_DV_M79"/>
      <w:bookmarkEnd w:id="923"/>
      <w:r>
        <w:rPr>
          <w:sz w:val="24"/>
          <w:szCs w:val="24"/>
        </w:rPr>
        <w:t xml:space="preserve">Transfer of </w:t>
      </w:r>
      <w:proofErr w:type="gramStart"/>
      <w:r>
        <w:rPr>
          <w:sz w:val="24"/>
          <w:szCs w:val="24"/>
        </w:rPr>
        <w:t>all of</w:t>
      </w:r>
      <w:proofErr w:type="gramEnd"/>
      <w:r>
        <w:rPr>
          <w:sz w:val="24"/>
          <w:szCs w:val="24"/>
        </w:rPr>
        <w:t xml:space="preserve"> the Assets of the </w:t>
      </w:r>
      <w:bookmarkStart w:id="924" w:name="_DV_M80"/>
      <w:bookmarkEnd w:id="924"/>
      <w:r>
        <w:rPr>
          <w:sz w:val="24"/>
          <w:szCs w:val="24"/>
        </w:rPr>
        <w:t xml:space="preserve">Project, which include all rights and title to assets necessary for the commercial operation of the Project, </w:t>
      </w:r>
      <w:bookmarkStart w:id="925" w:name="_DV_M82"/>
      <w:bookmarkEnd w:id="925"/>
      <w:r>
        <w:rPr>
          <w:sz w:val="24"/>
          <w:szCs w:val="24"/>
        </w:rPr>
        <w:t>to Buyer or its designated affiliate.</w:t>
      </w:r>
    </w:p>
    <w:p w14:paraId="4F1D2389" w14:textId="77777777" w:rsidR="00B63F33" w:rsidRDefault="00B63F33" w:rsidP="007C5A7E">
      <w:pPr>
        <w:pStyle w:val="tabletxt"/>
        <w:widowControl/>
        <w:numPr>
          <w:ilvl w:val="0"/>
          <w:numId w:val="35"/>
        </w:numPr>
        <w:spacing w:before="0"/>
        <w:ind w:left="720"/>
        <w:rPr>
          <w:sz w:val="24"/>
          <w:szCs w:val="24"/>
        </w:rPr>
      </w:pPr>
      <w:bookmarkStart w:id="926" w:name="_DV_M83"/>
      <w:bookmarkStart w:id="927" w:name="_DV_M84"/>
      <w:bookmarkEnd w:id="926"/>
      <w:bookmarkEnd w:id="927"/>
      <w:r>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14:paraId="2BE91E01" w14:textId="77777777" w:rsidR="00B63F33" w:rsidRDefault="00B63F33" w:rsidP="007C5A7E">
      <w:pPr>
        <w:pStyle w:val="tabletxt"/>
        <w:widowControl/>
        <w:numPr>
          <w:ilvl w:val="0"/>
          <w:numId w:val="35"/>
        </w:numPr>
        <w:spacing w:before="0"/>
        <w:ind w:left="720"/>
        <w:rPr>
          <w:sz w:val="24"/>
          <w:szCs w:val="24"/>
        </w:rPr>
      </w:pPr>
      <w:bookmarkStart w:id="928" w:name="_DV_M85"/>
      <w:bookmarkEnd w:id="928"/>
      <w:r>
        <w:rPr>
          <w:sz w:val="24"/>
          <w:szCs w:val="24"/>
        </w:rPr>
        <w:t xml:space="preserve">Evidence that </w:t>
      </w:r>
      <w:bookmarkStart w:id="929" w:name="_DV_C78"/>
      <w:r>
        <w:rPr>
          <w:rStyle w:val="DeltaViewInsertion"/>
          <w:color w:val="auto"/>
          <w:sz w:val="24"/>
          <w:szCs w:val="24"/>
          <w:u w:val="none"/>
        </w:rPr>
        <w:t>any liens</w:t>
      </w:r>
      <w:bookmarkStart w:id="930" w:name="_DV_M86"/>
      <w:bookmarkEnd w:id="929"/>
      <w:bookmarkEnd w:id="930"/>
      <w:r>
        <w:rPr>
          <w:sz w:val="24"/>
          <w:szCs w:val="24"/>
        </w:rPr>
        <w:t xml:space="preserve"> on the </w:t>
      </w:r>
      <w:bookmarkStart w:id="931" w:name="_DV_C80"/>
      <w:r>
        <w:rPr>
          <w:rStyle w:val="DeltaViewInsertion"/>
          <w:color w:val="auto"/>
          <w:sz w:val="24"/>
          <w:szCs w:val="24"/>
          <w:u w:val="none"/>
        </w:rPr>
        <w:t xml:space="preserve">Project, real property </w:t>
      </w:r>
      <w:bookmarkStart w:id="932" w:name="_DV_M87"/>
      <w:bookmarkEnd w:id="931"/>
      <w:bookmarkEnd w:id="932"/>
      <w:r>
        <w:rPr>
          <w:rStyle w:val="DeltaViewInsertion"/>
          <w:color w:val="auto"/>
          <w:sz w:val="24"/>
          <w:szCs w:val="24"/>
          <w:u w:val="none"/>
        </w:rPr>
        <w:t xml:space="preserve">or any other assets or interests of the Project </w:t>
      </w:r>
      <w:r>
        <w:rPr>
          <w:sz w:val="24"/>
          <w:szCs w:val="24"/>
        </w:rPr>
        <w:t xml:space="preserve">have been </w:t>
      </w:r>
      <w:bookmarkStart w:id="933" w:name="_DV_C82"/>
      <w:r>
        <w:rPr>
          <w:rStyle w:val="DeltaViewInsertion"/>
          <w:color w:val="auto"/>
          <w:sz w:val="24"/>
          <w:szCs w:val="24"/>
          <w:u w:val="none"/>
        </w:rPr>
        <w:t>removed</w:t>
      </w:r>
      <w:bookmarkStart w:id="934" w:name="_DV_M88"/>
      <w:bookmarkEnd w:id="933"/>
      <w:bookmarkEnd w:id="934"/>
      <w:r>
        <w:rPr>
          <w:sz w:val="24"/>
          <w:szCs w:val="24"/>
        </w:rPr>
        <w:t xml:space="preserve"> as of the </w:t>
      </w:r>
      <w:bookmarkStart w:id="935" w:name="_DV_C84"/>
      <w:r>
        <w:rPr>
          <w:rStyle w:val="DeltaViewInsertion"/>
          <w:color w:val="auto"/>
          <w:sz w:val="24"/>
          <w:szCs w:val="24"/>
          <w:u w:val="none"/>
        </w:rPr>
        <w:t>closing</w:t>
      </w:r>
      <w:bookmarkStart w:id="936" w:name="_DV_M89"/>
      <w:bookmarkEnd w:id="935"/>
      <w:bookmarkEnd w:id="936"/>
      <w:r>
        <w:rPr>
          <w:sz w:val="24"/>
          <w:szCs w:val="24"/>
        </w:rPr>
        <w:t xml:space="preserve"> other than permitted </w:t>
      </w:r>
      <w:bookmarkStart w:id="937" w:name="_DV_C86"/>
      <w:r>
        <w:rPr>
          <w:rStyle w:val="DeltaViewInsertion"/>
          <w:color w:val="auto"/>
          <w:sz w:val="24"/>
          <w:szCs w:val="24"/>
          <w:u w:val="none"/>
        </w:rPr>
        <w:t>liens</w:t>
      </w:r>
      <w:bookmarkStart w:id="938" w:name="_DV_M90"/>
      <w:bookmarkEnd w:id="937"/>
      <w:bookmarkEnd w:id="938"/>
      <w:r>
        <w:rPr>
          <w:sz w:val="24"/>
          <w:szCs w:val="24"/>
        </w:rPr>
        <w:t xml:space="preserve"> which have been scheduled or </w:t>
      </w:r>
      <w:bookmarkStart w:id="939" w:name="_DV_C88"/>
      <w:r>
        <w:rPr>
          <w:rStyle w:val="DeltaViewInsertion"/>
          <w:color w:val="auto"/>
          <w:sz w:val="24"/>
          <w:szCs w:val="24"/>
          <w:u w:val="none"/>
        </w:rPr>
        <w:t>liens</w:t>
      </w:r>
      <w:bookmarkStart w:id="940" w:name="_DV_M91"/>
      <w:bookmarkEnd w:id="939"/>
      <w:bookmarkEnd w:id="940"/>
      <w:r>
        <w:rPr>
          <w:sz w:val="24"/>
          <w:szCs w:val="24"/>
        </w:rPr>
        <w:t xml:space="preserve"> which have been scheduled and bonded to Buyer’s reasonable satisfaction.</w:t>
      </w:r>
    </w:p>
    <w:p w14:paraId="2930E109" w14:textId="77777777" w:rsidR="00B63F33" w:rsidRDefault="00B63F33" w:rsidP="007C5A7E">
      <w:pPr>
        <w:pStyle w:val="tabletxt"/>
        <w:widowControl/>
        <w:numPr>
          <w:ilvl w:val="0"/>
          <w:numId w:val="35"/>
        </w:numPr>
        <w:spacing w:before="0"/>
        <w:ind w:left="720"/>
        <w:rPr>
          <w:sz w:val="24"/>
          <w:szCs w:val="24"/>
        </w:rPr>
      </w:pPr>
      <w:r>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w:t>
      </w:r>
      <w:r>
        <w:rPr>
          <w:sz w:val="24"/>
          <w:szCs w:val="24"/>
        </w:rPr>
        <w:lastRenderedPageBreak/>
        <w:t xml:space="preserve">law that could have a negative impact on Buyer’s business or the economic viability of the Project.  </w:t>
      </w:r>
    </w:p>
    <w:p w14:paraId="5335D37C" w14:textId="77777777" w:rsidR="00B63F33" w:rsidRDefault="00B63F33" w:rsidP="007C5A7E">
      <w:pPr>
        <w:pStyle w:val="tabletxt"/>
        <w:widowControl/>
        <w:numPr>
          <w:ilvl w:val="0"/>
          <w:numId w:val="35"/>
        </w:numPr>
        <w:spacing w:before="0"/>
        <w:ind w:left="720"/>
        <w:rPr>
          <w:sz w:val="24"/>
          <w:szCs w:val="24"/>
        </w:rPr>
      </w:pPr>
      <w:r>
        <w:rPr>
          <w:sz w:val="24"/>
          <w:szCs w:val="24"/>
        </w:rPr>
        <w:t>All certifications, affidavits, approvals and permits required to demonstrate satisfaction of all representations, warranties, and covenants made by Seller pertaining to the closing.</w:t>
      </w:r>
    </w:p>
    <w:p w14:paraId="52FF253F" w14:textId="77777777" w:rsidR="00B63F33" w:rsidRDefault="00B63F33">
      <w:pPr>
        <w:pStyle w:val="tabletxt"/>
        <w:widowControl/>
        <w:spacing w:before="0" w:after="0"/>
        <w:ind w:left="360"/>
        <w:rPr>
          <w:sz w:val="24"/>
          <w:szCs w:val="24"/>
        </w:rPr>
      </w:pPr>
    </w:p>
    <w:p w14:paraId="2144BCA1" w14:textId="77777777" w:rsidR="00B63F33" w:rsidRDefault="00B63F33">
      <w:pPr>
        <w:pStyle w:val="tabletxt"/>
        <w:widowControl/>
        <w:spacing w:before="0" w:after="120"/>
        <w:rPr>
          <w:b/>
          <w:bCs/>
          <w:sz w:val="24"/>
          <w:szCs w:val="24"/>
          <w:u w:val="single"/>
        </w:rPr>
      </w:pPr>
      <w:bookmarkStart w:id="941" w:name="_DV_M92"/>
      <w:bookmarkStart w:id="942" w:name="_DV_M93"/>
      <w:bookmarkEnd w:id="941"/>
      <w:bookmarkEnd w:id="942"/>
      <w:r>
        <w:rPr>
          <w:b/>
          <w:bCs/>
          <w:sz w:val="24"/>
          <w:szCs w:val="24"/>
          <w:u w:val="single"/>
        </w:rPr>
        <w:t>Buyer’s Closing Deliverables:</w:t>
      </w:r>
    </w:p>
    <w:p w14:paraId="65051EB0" w14:textId="77777777" w:rsidR="00B63F33" w:rsidRDefault="00B63F33">
      <w:pPr>
        <w:pStyle w:val="tabletxt"/>
        <w:widowControl/>
        <w:spacing w:before="0" w:after="120"/>
        <w:rPr>
          <w:bCs/>
          <w:sz w:val="24"/>
          <w:szCs w:val="24"/>
        </w:rPr>
      </w:pPr>
      <w:r>
        <w:rPr>
          <w:bCs/>
          <w:sz w:val="24"/>
          <w:szCs w:val="24"/>
        </w:rPr>
        <w:t>Upon the terms and conditions to be defined within the PSA, the obligations of Seller to consummate the transactions contemplated are subject to the satisfaction by Buyer of certain closing conditions, including:</w:t>
      </w:r>
    </w:p>
    <w:p w14:paraId="10773A9B" w14:textId="77777777" w:rsidR="00B63F33" w:rsidRDefault="00B63F33" w:rsidP="007C5A7E">
      <w:pPr>
        <w:pStyle w:val="tabletxt"/>
        <w:widowControl/>
        <w:numPr>
          <w:ilvl w:val="0"/>
          <w:numId w:val="35"/>
        </w:numPr>
        <w:spacing w:before="0"/>
        <w:ind w:left="720"/>
        <w:rPr>
          <w:sz w:val="24"/>
          <w:szCs w:val="24"/>
        </w:rPr>
      </w:pPr>
      <w:r>
        <w:rPr>
          <w:sz w:val="24"/>
          <w:szCs w:val="24"/>
        </w:rPr>
        <w:t>Delivery of the Purchase Price.</w:t>
      </w:r>
    </w:p>
    <w:p w14:paraId="490FF8AA" w14:textId="77777777" w:rsidR="00B63F33" w:rsidRDefault="00B63F33" w:rsidP="007C5A7E">
      <w:pPr>
        <w:pStyle w:val="tabletxt"/>
        <w:widowControl/>
        <w:numPr>
          <w:ilvl w:val="0"/>
          <w:numId w:val="35"/>
        </w:numPr>
        <w:spacing w:before="0"/>
        <w:ind w:left="720"/>
        <w:rPr>
          <w:sz w:val="24"/>
          <w:szCs w:val="24"/>
        </w:rPr>
      </w:pPr>
      <w:r>
        <w:rPr>
          <w:sz w:val="24"/>
          <w:szCs w:val="24"/>
        </w:rPr>
        <w:t>All certifications, affidavits, approvals and permits required to demonstrate satisfaction of all representations, warranties, and covenants made by Buyer pertaining to the closing.</w:t>
      </w:r>
    </w:p>
    <w:p w14:paraId="04C37FFB" w14:textId="33C8CD10" w:rsidR="00B63F33" w:rsidRPr="0082472C" w:rsidRDefault="00B63F33">
      <w:pPr>
        <w:pStyle w:val="Heading2"/>
        <w:keepNext w:val="0"/>
        <w:numPr>
          <w:ilvl w:val="0"/>
          <w:numId w:val="0"/>
        </w:numPr>
        <w:spacing w:after="120"/>
        <w:rPr>
          <w:b/>
          <w:i w:val="0"/>
          <w:u w:val="single"/>
        </w:rPr>
      </w:pPr>
      <w:bookmarkStart w:id="943" w:name="_DV_M94"/>
      <w:bookmarkStart w:id="944" w:name="_DV_M95"/>
      <w:bookmarkStart w:id="945" w:name="_DV_M96"/>
      <w:bookmarkStart w:id="946" w:name="_DV_M97"/>
      <w:bookmarkStart w:id="947" w:name="_DV_M98"/>
      <w:bookmarkStart w:id="948" w:name="_DV_M99"/>
      <w:bookmarkStart w:id="949" w:name="_DV_M100"/>
      <w:bookmarkStart w:id="950" w:name="_DV_M101"/>
      <w:bookmarkStart w:id="951" w:name="_DV_M102"/>
      <w:bookmarkStart w:id="952" w:name="_DV_M103"/>
      <w:bookmarkStart w:id="953" w:name="_DV_M104"/>
      <w:bookmarkStart w:id="954" w:name="_DV_M105"/>
      <w:bookmarkStart w:id="955" w:name="_DV_M107"/>
      <w:bookmarkStart w:id="956" w:name="_DV_M108"/>
      <w:bookmarkStart w:id="957" w:name="_DV_M111"/>
      <w:bookmarkStart w:id="958" w:name="_DV_M112"/>
      <w:bookmarkStart w:id="959" w:name="_DV_M113"/>
      <w:bookmarkStart w:id="960" w:name="_DV_M114"/>
      <w:bookmarkStart w:id="961" w:name="_DV_M115"/>
      <w:bookmarkStart w:id="962" w:name="_DV_M116"/>
      <w:bookmarkStart w:id="963" w:name="_DV_M117"/>
      <w:bookmarkStart w:id="964" w:name="_DV_M118"/>
      <w:bookmarkStart w:id="965" w:name="_DV_M119"/>
      <w:bookmarkStart w:id="966" w:name="_DV_M120"/>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r>
        <w:rPr>
          <w:b/>
          <w:i w:val="0"/>
          <w:u w:val="single"/>
        </w:rPr>
        <w:t>Required Approvals</w:t>
      </w:r>
      <w:bookmarkStart w:id="967" w:name="_cp_change_292"/>
      <w:r w:rsidRPr="002A1B65">
        <w:rPr>
          <w:b/>
          <w:bCs w:val="0"/>
          <w:i w:val="0"/>
          <w:iCs w:val="0"/>
          <w:color w:val="0000FF"/>
          <w:u w:val="single"/>
        </w:rPr>
        <w:t>:</w:t>
      </w:r>
      <w:bookmarkEnd w:id="967"/>
    </w:p>
    <w:p w14:paraId="5B117B13" w14:textId="77777777" w:rsidR="00B63F33" w:rsidRDefault="00B63F33">
      <w:pPr>
        <w:pStyle w:val="Header"/>
        <w:spacing w:before="60" w:after="60"/>
        <w:rPr>
          <w:rFonts w:cs="Arial"/>
        </w:rPr>
      </w:pPr>
      <w:bookmarkStart w:id="968" w:name="_DV_M121"/>
      <w:bookmarkEnd w:id="968"/>
      <w:r>
        <w:rPr>
          <w:rFonts w:cs="Arial"/>
        </w:rPr>
        <w:t>The transaction is subject to obtaining specified approvals, authorizations, or orders, including but not limited to the following (to the extent necessary):</w:t>
      </w:r>
    </w:p>
    <w:p w14:paraId="48AB7F43" w14:textId="77777777" w:rsidR="00B63F33" w:rsidRDefault="00B63F33" w:rsidP="007C5A7E">
      <w:pPr>
        <w:pStyle w:val="Header"/>
        <w:widowControl w:val="0"/>
        <w:numPr>
          <w:ilvl w:val="0"/>
          <w:numId w:val="34"/>
        </w:numPr>
        <w:tabs>
          <w:tab w:val="clear" w:pos="826"/>
          <w:tab w:val="clear" w:pos="4680"/>
          <w:tab w:val="clear" w:pos="9360"/>
        </w:tabs>
        <w:autoSpaceDE w:val="0"/>
        <w:autoSpaceDN w:val="0"/>
        <w:adjustRightInd w:val="0"/>
        <w:spacing w:before="60" w:after="60"/>
        <w:ind w:left="720"/>
        <w:rPr>
          <w:rFonts w:cs="Arial"/>
        </w:rPr>
      </w:pPr>
      <w:r>
        <w:rPr>
          <w:rFonts w:cs="Arial"/>
        </w:rPr>
        <w:t xml:space="preserve">Approval of the board of directors of Buyer and the board of directors or similar governing body of Seller shall be obtained prior to execution of the </w:t>
      </w:r>
      <w:r>
        <w:rPr>
          <w:rFonts w:cs="Arial"/>
          <w:lang w:val="en-US"/>
        </w:rPr>
        <w:t>PSA</w:t>
      </w:r>
      <w:r>
        <w:rPr>
          <w:rFonts w:cs="Arial"/>
        </w:rPr>
        <w:t>.</w:t>
      </w:r>
    </w:p>
    <w:p w14:paraId="763E14BD" w14:textId="77777777" w:rsidR="00B63F33" w:rsidRDefault="00B63F33" w:rsidP="007C5A7E">
      <w:pPr>
        <w:pStyle w:val="Header"/>
        <w:numPr>
          <w:ilvl w:val="0"/>
          <w:numId w:val="34"/>
        </w:numPr>
        <w:tabs>
          <w:tab w:val="clear" w:pos="826"/>
          <w:tab w:val="clear" w:pos="4680"/>
          <w:tab w:val="clear" w:pos="9360"/>
        </w:tabs>
        <w:spacing w:before="60" w:after="60"/>
        <w:ind w:left="720"/>
        <w:rPr>
          <w:rFonts w:cs="Arial"/>
        </w:rPr>
      </w:pPr>
      <w:r>
        <w:rPr>
          <w:rFonts w:cs="Arial"/>
        </w:rPr>
        <w:t>Third party consents.</w:t>
      </w:r>
    </w:p>
    <w:p w14:paraId="46AE89FA" w14:textId="3F5F6B2E" w:rsidR="00B63F33" w:rsidRDefault="00B63F33" w:rsidP="007C5A7E">
      <w:pPr>
        <w:pStyle w:val="Header"/>
        <w:numPr>
          <w:ilvl w:val="0"/>
          <w:numId w:val="34"/>
        </w:numPr>
        <w:tabs>
          <w:tab w:val="clear" w:pos="826"/>
          <w:tab w:val="clear" w:pos="4680"/>
          <w:tab w:val="clear" w:pos="9360"/>
        </w:tabs>
        <w:spacing w:before="60" w:after="60"/>
        <w:ind w:left="720"/>
        <w:rPr>
          <w:rFonts w:cs="Arial"/>
        </w:rPr>
      </w:pPr>
      <w:r>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Pr>
          <w:rFonts w:cs="Arial"/>
        </w:rPr>
        <w:t xml:space="preserve">, including </w:t>
      </w:r>
      <w:r>
        <w:rPr>
          <w:rFonts w:cs="Arial"/>
          <w:lang w:val="en-US"/>
        </w:rPr>
        <w:t xml:space="preserve">but not limited to </w:t>
      </w:r>
      <w:r>
        <w:rPr>
          <w:rFonts w:cs="Arial"/>
        </w:rPr>
        <w:t xml:space="preserve">the </w:t>
      </w:r>
      <w:r w:rsidR="0072450B" w:rsidRPr="00957850">
        <w:t>MPUC/ND PSC</w:t>
      </w:r>
      <w:r w:rsidRPr="0018162E">
        <w:rPr>
          <w:rFonts w:cs="Arial"/>
          <w:color w:val="000000" w:themeColor="text1"/>
        </w:rPr>
        <w:t xml:space="preserve">, the IRS, the FERC, the Department of Justice, the US </w:t>
      </w:r>
      <w:r>
        <w:rPr>
          <w:rFonts w:cs="Arial"/>
        </w:rPr>
        <w:t>Fish and Wildlife Service and the FAA.</w:t>
      </w:r>
    </w:p>
    <w:p w14:paraId="30F00447" w14:textId="77777777" w:rsidR="00B63F33" w:rsidRDefault="00B63F33">
      <w:pPr>
        <w:pStyle w:val="Header"/>
        <w:jc w:val="both"/>
        <w:rPr>
          <w:rFonts w:cs="Arial"/>
          <w:b/>
          <w:bCs/>
          <w:u w:val="single"/>
        </w:rPr>
      </w:pPr>
      <w:bookmarkStart w:id="969" w:name="_DV_M124"/>
      <w:bookmarkEnd w:id="969"/>
    </w:p>
    <w:p w14:paraId="02E0E413" w14:textId="77777777" w:rsidR="00B63F33" w:rsidRDefault="00B63F33">
      <w:pPr>
        <w:pStyle w:val="Header"/>
        <w:spacing w:before="60" w:after="120"/>
        <w:jc w:val="both"/>
        <w:rPr>
          <w:rFonts w:cs="Arial"/>
          <w:b/>
          <w:bCs/>
          <w:u w:val="single"/>
        </w:rPr>
      </w:pPr>
      <w:r>
        <w:rPr>
          <w:rFonts w:cs="Arial"/>
          <w:b/>
          <w:bCs/>
          <w:u w:val="single"/>
        </w:rPr>
        <w:t>Representations and Warranties</w:t>
      </w:r>
    </w:p>
    <w:p w14:paraId="089A5CEF" w14:textId="77777777" w:rsidR="00B63F33" w:rsidRDefault="00B63F33">
      <w:pPr>
        <w:tabs>
          <w:tab w:val="left" w:pos="776"/>
        </w:tabs>
        <w:rPr>
          <w:rFonts w:cs="Arial"/>
          <w:b/>
          <w:bCs/>
        </w:rPr>
      </w:pPr>
      <w:bookmarkStart w:id="970" w:name="_DV_C120"/>
      <w:r>
        <w:rPr>
          <w:rFonts w:cs="Arial"/>
        </w:rPr>
        <w:t>The transaction is subject to customary representations and warranties to be made by Buyer and Seller as of the execution date or the effective date of the PSA and the closing thereunder, including the following:</w:t>
      </w:r>
      <w:bookmarkEnd w:id="970"/>
    </w:p>
    <w:p w14:paraId="24EC00DD" w14:textId="77777777" w:rsidR="00B63F33" w:rsidRDefault="00B63F33" w:rsidP="007C5A7E">
      <w:pPr>
        <w:numPr>
          <w:ilvl w:val="0"/>
          <w:numId w:val="37"/>
        </w:numPr>
        <w:autoSpaceDE w:val="0"/>
        <w:autoSpaceDN w:val="0"/>
        <w:adjustRightInd w:val="0"/>
        <w:spacing w:before="60" w:after="60"/>
        <w:ind w:left="720" w:right="160"/>
        <w:rPr>
          <w:rFonts w:cs="Arial"/>
        </w:rPr>
      </w:pPr>
      <w:bookmarkStart w:id="971" w:name="_DV_M125"/>
      <w:bookmarkEnd w:id="971"/>
      <w:r>
        <w:rPr>
          <w:rFonts w:cs="Arial"/>
        </w:rPr>
        <w:t>Corporate existence and powers</w:t>
      </w:r>
      <w:bookmarkStart w:id="972" w:name="_DV_M126"/>
      <w:bookmarkEnd w:id="972"/>
      <w:r>
        <w:rPr>
          <w:rFonts w:cs="Arial"/>
        </w:rPr>
        <w:t xml:space="preserve"> – Seller </w:t>
      </w:r>
      <w:proofErr w:type="gramStart"/>
      <w:r>
        <w:rPr>
          <w:rFonts w:cs="Arial"/>
        </w:rPr>
        <w:t>is</w:t>
      </w:r>
      <w:proofErr w:type="gramEnd"/>
      <w:r>
        <w:rPr>
          <w:rFonts w:cs="Arial"/>
        </w:rPr>
        <w:t xml:space="preserve"> a limited liability company validly existing and in good standing and has the power and authority to conduct its business as now conducted.</w:t>
      </w:r>
    </w:p>
    <w:p w14:paraId="0CE9E60F" w14:textId="77777777" w:rsidR="00B63F33" w:rsidRDefault="00B63F33" w:rsidP="007C5A7E">
      <w:pPr>
        <w:numPr>
          <w:ilvl w:val="0"/>
          <w:numId w:val="36"/>
        </w:numPr>
        <w:autoSpaceDE w:val="0"/>
        <w:autoSpaceDN w:val="0"/>
        <w:adjustRightInd w:val="0"/>
        <w:spacing w:before="60" w:after="60"/>
        <w:ind w:right="160"/>
        <w:rPr>
          <w:rFonts w:cs="Arial"/>
        </w:rPr>
      </w:pPr>
      <w:bookmarkStart w:id="973" w:name="_DV_M127"/>
      <w:bookmarkEnd w:id="973"/>
      <w:r>
        <w:rPr>
          <w:rFonts w:cs="Arial"/>
        </w:rPr>
        <w:t>Authority (execution and delivery)</w:t>
      </w:r>
    </w:p>
    <w:p w14:paraId="042B987E" w14:textId="77777777" w:rsidR="00B63F33" w:rsidRDefault="00B63F33" w:rsidP="007C5A7E">
      <w:pPr>
        <w:numPr>
          <w:ilvl w:val="0"/>
          <w:numId w:val="36"/>
        </w:numPr>
        <w:autoSpaceDE w:val="0"/>
        <w:autoSpaceDN w:val="0"/>
        <w:adjustRightInd w:val="0"/>
        <w:spacing w:before="60" w:after="60"/>
        <w:ind w:right="160"/>
        <w:rPr>
          <w:rFonts w:cs="Arial"/>
        </w:rPr>
      </w:pPr>
      <w:bookmarkStart w:id="974" w:name="_DV_M128"/>
      <w:bookmarkStart w:id="975" w:name="_DV_M129"/>
      <w:bookmarkEnd w:id="974"/>
      <w:bookmarkEnd w:id="975"/>
      <w:r>
        <w:rPr>
          <w:rFonts w:cs="Arial"/>
        </w:rPr>
        <w:t>No conflicts - the transaction does not create any conflicts.</w:t>
      </w:r>
    </w:p>
    <w:p w14:paraId="1785DD19" w14:textId="77777777" w:rsidR="00B63F33" w:rsidRDefault="00B63F33" w:rsidP="007C5A7E">
      <w:pPr>
        <w:numPr>
          <w:ilvl w:val="0"/>
          <w:numId w:val="36"/>
        </w:numPr>
        <w:autoSpaceDE w:val="0"/>
        <w:autoSpaceDN w:val="0"/>
        <w:adjustRightInd w:val="0"/>
        <w:spacing w:before="60" w:after="60"/>
        <w:ind w:right="160"/>
        <w:rPr>
          <w:rFonts w:cs="Arial"/>
        </w:rPr>
      </w:pPr>
      <w:bookmarkStart w:id="976" w:name="_DV_M130"/>
      <w:bookmarkEnd w:id="976"/>
      <w:r>
        <w:rPr>
          <w:rFonts w:cs="Arial"/>
        </w:rPr>
        <w:t>Consents and approvals – no consent, approval or authorization is required in connection with the execution and performance of the PSA.</w:t>
      </w:r>
    </w:p>
    <w:p w14:paraId="057FD693" w14:textId="77777777" w:rsidR="00B63F33" w:rsidRDefault="00B63F33" w:rsidP="007C5A7E">
      <w:pPr>
        <w:numPr>
          <w:ilvl w:val="0"/>
          <w:numId w:val="36"/>
        </w:numPr>
        <w:autoSpaceDE w:val="0"/>
        <w:autoSpaceDN w:val="0"/>
        <w:adjustRightInd w:val="0"/>
        <w:spacing w:before="60" w:after="60"/>
        <w:ind w:right="160"/>
        <w:rPr>
          <w:rFonts w:cs="Arial"/>
        </w:rPr>
      </w:pPr>
      <w:bookmarkStart w:id="977" w:name="_DV_M131"/>
      <w:bookmarkStart w:id="978" w:name="_DV_M201"/>
      <w:bookmarkStart w:id="979" w:name="_DV_M205"/>
      <w:bookmarkStart w:id="980" w:name="_DV_M206"/>
      <w:bookmarkStart w:id="981" w:name="_DV_M207"/>
      <w:bookmarkStart w:id="982" w:name="_DV_M208"/>
      <w:bookmarkStart w:id="983" w:name="_DV_M209"/>
      <w:bookmarkStart w:id="984" w:name="_DV_M210"/>
      <w:bookmarkStart w:id="985" w:name="_DV_M211"/>
      <w:bookmarkStart w:id="986" w:name="_DV_M212"/>
      <w:bookmarkStart w:id="987" w:name="_DV_M213"/>
      <w:bookmarkStart w:id="988" w:name="_DV_M214"/>
      <w:bookmarkStart w:id="989" w:name="_DV_M215"/>
      <w:bookmarkStart w:id="990" w:name="_DV_M216"/>
      <w:bookmarkStart w:id="991" w:name="_DV_M217"/>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r>
        <w:rPr>
          <w:rFonts w:cs="Arial"/>
        </w:rPr>
        <w:t>Legal proceedings of Buyer– there are no legal proceedings pending, or to Buyer’s knowledge, threatened in writing, against Buyer, that affect the consummation of the transaction contemplated by the</w:t>
      </w:r>
      <w:bookmarkStart w:id="992" w:name="_DV_C123"/>
      <w:r>
        <w:rPr>
          <w:rStyle w:val="DeltaViewInsertion"/>
          <w:rFonts w:cs="Arial"/>
          <w:color w:val="auto"/>
          <w:u w:val="none"/>
        </w:rPr>
        <w:t xml:space="preserve"> </w:t>
      </w:r>
      <w:bookmarkStart w:id="993" w:name="_DV_M132"/>
      <w:bookmarkEnd w:id="992"/>
      <w:bookmarkEnd w:id="993"/>
      <w:r>
        <w:rPr>
          <w:rStyle w:val="DeltaViewInsertion"/>
          <w:rFonts w:cs="Arial"/>
          <w:color w:val="auto"/>
          <w:u w:val="none"/>
        </w:rPr>
        <w:t>PSA</w:t>
      </w:r>
      <w:r>
        <w:rPr>
          <w:rFonts w:cs="Arial"/>
        </w:rPr>
        <w:t>.</w:t>
      </w:r>
      <w:bookmarkStart w:id="994" w:name="_DV_M133"/>
      <w:bookmarkEnd w:id="994"/>
    </w:p>
    <w:p w14:paraId="14577001" w14:textId="07A008E8" w:rsidR="00B63F33" w:rsidRDefault="00B63F33" w:rsidP="007C5A7E">
      <w:pPr>
        <w:keepLines/>
        <w:numPr>
          <w:ilvl w:val="0"/>
          <w:numId w:val="36"/>
        </w:numPr>
        <w:autoSpaceDE w:val="0"/>
        <w:autoSpaceDN w:val="0"/>
        <w:adjustRightInd w:val="0"/>
        <w:spacing w:before="60" w:after="60"/>
        <w:ind w:right="160"/>
        <w:jc w:val="both"/>
        <w:rPr>
          <w:rFonts w:cs="Arial"/>
        </w:rPr>
      </w:pPr>
      <w:r>
        <w:rPr>
          <w:rFonts w:cs="Arial"/>
        </w:rPr>
        <w:lastRenderedPageBreak/>
        <w:t xml:space="preserve">Legal proceedings of Seller and the Project – there are no legal proceedings </w:t>
      </w:r>
      <w:bookmarkStart w:id="995" w:name="_DV_M151"/>
      <w:bookmarkEnd w:id="995"/>
      <w:r>
        <w:rPr>
          <w:rFonts w:cs="Arial"/>
        </w:rPr>
        <w:t xml:space="preserve">pending, or to Seller’s knowledge, threatened in writing, against the Seller or the </w:t>
      </w:r>
      <w:bookmarkStart w:id="996" w:name="_DV_M153"/>
      <w:bookmarkEnd w:id="996"/>
      <w:r>
        <w:rPr>
          <w:rFonts w:cs="Arial"/>
        </w:rPr>
        <w:t>Project or affecting Seller’s ability to sell the Project</w:t>
      </w:r>
      <w:bookmarkStart w:id="997" w:name="_DV_M155"/>
      <w:bookmarkEnd w:id="997"/>
      <w:r>
        <w:rPr>
          <w:rFonts w:cs="Arial"/>
        </w:rPr>
        <w:t>.</w:t>
      </w:r>
    </w:p>
    <w:p w14:paraId="797080BB" w14:textId="77777777" w:rsidR="00B63F33" w:rsidRDefault="00B63F33" w:rsidP="007C5A7E">
      <w:pPr>
        <w:numPr>
          <w:ilvl w:val="0"/>
          <w:numId w:val="36"/>
        </w:numPr>
        <w:autoSpaceDE w:val="0"/>
        <w:autoSpaceDN w:val="0"/>
        <w:adjustRightInd w:val="0"/>
        <w:spacing w:before="60" w:after="60"/>
        <w:ind w:right="160"/>
        <w:rPr>
          <w:rFonts w:cs="Arial"/>
        </w:rPr>
      </w:pPr>
      <w:bookmarkStart w:id="998" w:name="_DV_M134"/>
      <w:bookmarkStart w:id="999" w:name="_DV_M135"/>
      <w:bookmarkEnd w:id="998"/>
      <w:bookmarkEnd w:id="999"/>
      <w:r>
        <w:rPr>
          <w:rFonts w:cs="Arial"/>
        </w:rPr>
        <w:t>Sufficient funds – Buyer has available, or will maintain sufficient sources of, funds to complete the transaction.</w:t>
      </w:r>
      <w:r>
        <w:rPr>
          <w:rFonts w:cs="Arial"/>
          <w:b/>
          <w:bCs/>
        </w:rPr>
        <w:t xml:space="preserve"> </w:t>
      </w:r>
      <w:bookmarkStart w:id="1000" w:name="_DV_M136"/>
      <w:bookmarkStart w:id="1001" w:name="_DV_M137"/>
      <w:bookmarkStart w:id="1002" w:name="_DV_M139"/>
      <w:bookmarkStart w:id="1003" w:name="_DV_M140"/>
      <w:bookmarkStart w:id="1004" w:name="_DV_M141"/>
      <w:bookmarkStart w:id="1005" w:name="_DV_M142"/>
      <w:bookmarkStart w:id="1006" w:name="_DV_M147"/>
      <w:bookmarkStart w:id="1007" w:name="_DV_M148"/>
      <w:bookmarkStart w:id="1008" w:name="_DV_M149"/>
      <w:bookmarkEnd w:id="1000"/>
      <w:bookmarkEnd w:id="1001"/>
      <w:bookmarkEnd w:id="1002"/>
      <w:bookmarkEnd w:id="1003"/>
      <w:bookmarkEnd w:id="1004"/>
      <w:bookmarkEnd w:id="1005"/>
      <w:bookmarkEnd w:id="1006"/>
      <w:bookmarkEnd w:id="1007"/>
      <w:bookmarkEnd w:id="1008"/>
    </w:p>
    <w:p w14:paraId="6C078E7D" w14:textId="77777777" w:rsidR="00B63F33" w:rsidRDefault="00B63F33" w:rsidP="007C5A7E">
      <w:pPr>
        <w:keepLines/>
        <w:numPr>
          <w:ilvl w:val="0"/>
          <w:numId w:val="36"/>
        </w:numPr>
        <w:autoSpaceDE w:val="0"/>
        <w:autoSpaceDN w:val="0"/>
        <w:adjustRightInd w:val="0"/>
        <w:spacing w:before="60" w:after="60"/>
        <w:ind w:right="160"/>
        <w:jc w:val="both"/>
        <w:rPr>
          <w:rFonts w:cs="Arial"/>
        </w:rPr>
      </w:pPr>
      <w:bookmarkStart w:id="1009" w:name="_DV_M150"/>
      <w:bookmarkStart w:id="1010" w:name="_DV_M157"/>
      <w:bookmarkEnd w:id="1009"/>
      <w:bookmarkEnd w:id="1010"/>
      <w:r>
        <w:rPr>
          <w:rFonts w:cs="Arial"/>
        </w:rPr>
        <w:t xml:space="preserve">Compliance with Laws – Seller </w:t>
      </w:r>
      <w:bookmarkStart w:id="1011" w:name="_DV_M158"/>
      <w:bookmarkEnd w:id="1011"/>
      <w:proofErr w:type="gramStart"/>
      <w:r>
        <w:rPr>
          <w:rFonts w:cs="Arial"/>
        </w:rPr>
        <w:t>is in compliance with</w:t>
      </w:r>
      <w:proofErr w:type="gramEnd"/>
      <w:r>
        <w:rPr>
          <w:rFonts w:cs="Arial"/>
        </w:rPr>
        <w:t xml:space="preserve"> all laws </w:t>
      </w:r>
      <w:bookmarkStart w:id="1012" w:name="_DV_M161"/>
      <w:bookmarkEnd w:id="1012"/>
      <w:r>
        <w:rPr>
          <w:rFonts w:cs="Arial"/>
        </w:rPr>
        <w:t>applicable to the Seller, Project and the transactions contemplated by the PSA.</w:t>
      </w:r>
    </w:p>
    <w:p w14:paraId="78F24013" w14:textId="77777777" w:rsidR="00B63F33" w:rsidRDefault="00B63F33" w:rsidP="007C5A7E">
      <w:pPr>
        <w:widowControl w:val="0"/>
        <w:numPr>
          <w:ilvl w:val="0"/>
          <w:numId w:val="36"/>
        </w:numPr>
        <w:autoSpaceDE w:val="0"/>
        <w:autoSpaceDN w:val="0"/>
        <w:adjustRightInd w:val="0"/>
        <w:spacing w:line="276" w:lineRule="auto"/>
        <w:rPr>
          <w:rFonts w:cs="Arial"/>
        </w:rPr>
      </w:pPr>
      <w:bookmarkStart w:id="1013" w:name="_DV_M162"/>
      <w:bookmarkEnd w:id="1013"/>
      <w:r>
        <w:rPr>
          <w:rFonts w:cs="Arial"/>
        </w:rPr>
        <w:t>Environmental – Seller and its affiliates have no</w:t>
      </w:r>
      <w:bookmarkStart w:id="1014" w:name="_DV_C137"/>
      <w:r>
        <w:rPr>
          <w:rStyle w:val="DeltaViewInsertion"/>
          <w:rFonts w:cs="Arial"/>
          <w:color w:val="auto"/>
          <w:u w:val="none"/>
        </w:rPr>
        <w:t xml:space="preserve"> </w:t>
      </w:r>
      <w:bookmarkStart w:id="1015" w:name="_DV_M165"/>
      <w:bookmarkEnd w:id="1014"/>
      <w:bookmarkEnd w:id="1015"/>
      <w:r>
        <w:rPr>
          <w:rFonts w:cs="Arial"/>
        </w:rPr>
        <w:t xml:space="preserve">environmental liabilities </w:t>
      </w:r>
      <w:bookmarkStart w:id="1016" w:name="_DV_M166"/>
      <w:bookmarkEnd w:id="1016"/>
      <w:r>
        <w:rPr>
          <w:rFonts w:cs="Arial"/>
        </w:rPr>
        <w:t xml:space="preserve">and </w:t>
      </w:r>
      <w:proofErr w:type="gramStart"/>
      <w:r>
        <w:rPr>
          <w:rStyle w:val="DeltaViewInsertion"/>
          <w:rFonts w:cs="Arial"/>
          <w:color w:val="auto"/>
          <w:u w:val="none"/>
        </w:rPr>
        <w:t>are</w:t>
      </w:r>
      <w:r>
        <w:rPr>
          <w:rFonts w:cs="Arial"/>
        </w:rPr>
        <w:t xml:space="preserve"> in compliance with</w:t>
      </w:r>
      <w:proofErr w:type="gramEnd"/>
      <w:r>
        <w:rPr>
          <w:rFonts w:cs="Arial"/>
        </w:rPr>
        <w:t xml:space="preserve"> environmental requirements. Seller and its affiliates have not received any</w:t>
      </w:r>
      <w:bookmarkStart w:id="1017" w:name="_DV_C139"/>
      <w:r>
        <w:rPr>
          <w:rStyle w:val="DeltaViewInsertion"/>
          <w:rFonts w:cs="Arial"/>
        </w:rPr>
        <w:t xml:space="preserve"> </w:t>
      </w:r>
      <w:bookmarkStart w:id="1018" w:name="_DV_M167"/>
      <w:bookmarkEnd w:id="1017"/>
      <w:bookmarkEnd w:id="1018"/>
      <w:r>
        <w:rPr>
          <w:rFonts w:cs="Arial"/>
        </w:rPr>
        <w:t xml:space="preserve">notice of an alleged violation of environmental law pertaining to the Project from any governmental entity. There are no facts, circumstances, conditions or occurrences relating to the Project that could </w:t>
      </w:r>
      <w:proofErr w:type="gramStart"/>
      <w:r>
        <w:rPr>
          <w:rFonts w:cs="Arial"/>
        </w:rPr>
        <w:t>reasonably be</w:t>
      </w:r>
      <w:proofErr w:type="gramEnd"/>
      <w:r>
        <w:rPr>
          <w:rFonts w:cs="Arial"/>
        </w:rPr>
        <w:t xml:space="preserve"> expected to form the basis of a claim, requirement or obligation imposed by any governmental entity under any environmental law on Seller or its affiliates</w:t>
      </w:r>
      <w:bookmarkStart w:id="1019" w:name="_DV_M168"/>
      <w:bookmarkEnd w:id="1019"/>
      <w:r>
        <w:rPr>
          <w:rFonts w:cs="Arial"/>
        </w:rPr>
        <w:t>.</w:t>
      </w:r>
    </w:p>
    <w:p w14:paraId="0091240C" w14:textId="7D17A828" w:rsidR="00B63F33" w:rsidRDefault="00B63F33" w:rsidP="007C5A7E">
      <w:pPr>
        <w:keepLines/>
        <w:numPr>
          <w:ilvl w:val="0"/>
          <w:numId w:val="36"/>
        </w:numPr>
        <w:autoSpaceDE w:val="0"/>
        <w:autoSpaceDN w:val="0"/>
        <w:adjustRightInd w:val="0"/>
        <w:spacing w:before="60" w:after="60"/>
        <w:ind w:right="160"/>
        <w:jc w:val="both"/>
        <w:rPr>
          <w:rFonts w:cs="Arial"/>
        </w:rPr>
      </w:pPr>
      <w:bookmarkStart w:id="1020" w:name="_DV_M169"/>
      <w:bookmarkStart w:id="1021" w:name="_DV_M172"/>
      <w:bookmarkEnd w:id="1020"/>
      <w:bookmarkEnd w:id="1021"/>
      <w:r>
        <w:rPr>
          <w:rFonts w:cs="Arial"/>
        </w:rPr>
        <w:t xml:space="preserve">Contracts – </w:t>
      </w:r>
      <w:bookmarkStart w:id="1022" w:name="_DV_M173"/>
      <w:bookmarkEnd w:id="1022"/>
      <w:r>
        <w:rPr>
          <w:rFonts w:cs="Arial"/>
        </w:rPr>
        <w:t xml:space="preserve">Schedule of material contracts binding on the </w:t>
      </w:r>
      <w:bookmarkStart w:id="1023" w:name="_DV_M175"/>
      <w:bookmarkEnd w:id="1023"/>
      <w:r>
        <w:rPr>
          <w:rFonts w:cs="Arial"/>
        </w:rPr>
        <w:t xml:space="preserve">Seller or to which the Project is </w:t>
      </w:r>
      <w:r w:rsidR="00B651E5">
        <w:rPr>
          <w:rFonts w:cs="Arial"/>
        </w:rPr>
        <w:t>subject,</w:t>
      </w:r>
      <w:r>
        <w:rPr>
          <w:rFonts w:cs="Arial"/>
        </w:rPr>
        <w:t xml:space="preserve"> and Seller has </w:t>
      </w:r>
      <w:proofErr w:type="gramStart"/>
      <w:r>
        <w:rPr>
          <w:rFonts w:cs="Arial"/>
        </w:rPr>
        <w:t>furnished</w:t>
      </w:r>
      <w:proofErr w:type="gramEnd"/>
      <w:r>
        <w:rPr>
          <w:rFonts w:cs="Arial"/>
        </w:rPr>
        <w:t xml:space="preserve"> to Buyer true, correct and complete copies of all material contracts.  Each scheduled contract, including but not limited to the Generator Interconnection Agreement, is in full force and effect and neither Seller nor the Project is in material violation or default under such contracts.</w:t>
      </w:r>
    </w:p>
    <w:p w14:paraId="5B209FAC" w14:textId="77777777" w:rsidR="00B63F33" w:rsidRDefault="00B63F33" w:rsidP="007C5A7E">
      <w:pPr>
        <w:keepLines/>
        <w:numPr>
          <w:ilvl w:val="0"/>
          <w:numId w:val="36"/>
        </w:numPr>
        <w:autoSpaceDE w:val="0"/>
        <w:autoSpaceDN w:val="0"/>
        <w:adjustRightInd w:val="0"/>
        <w:spacing w:before="60" w:after="60"/>
        <w:ind w:right="160"/>
        <w:jc w:val="both"/>
        <w:rPr>
          <w:rFonts w:cs="Arial"/>
        </w:rPr>
      </w:pPr>
      <w:r>
        <w:rPr>
          <w:rFonts w:cs="Arial"/>
        </w:rPr>
        <w:t>Land Contracts – The land contracts and real property owned by the Project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14:paraId="0D9A75FC" w14:textId="218269BA" w:rsidR="00B63F33" w:rsidRDefault="00B63F33" w:rsidP="007C5A7E">
      <w:pPr>
        <w:keepLines/>
        <w:numPr>
          <w:ilvl w:val="0"/>
          <w:numId w:val="36"/>
        </w:numPr>
        <w:autoSpaceDE w:val="0"/>
        <w:autoSpaceDN w:val="0"/>
        <w:adjustRightInd w:val="0"/>
        <w:spacing w:before="60" w:after="60"/>
        <w:ind w:right="160"/>
        <w:jc w:val="both"/>
        <w:rPr>
          <w:rFonts w:cs="Arial"/>
        </w:rPr>
      </w:pPr>
      <w:bookmarkStart w:id="1024" w:name="_DV_C141"/>
      <w:r>
        <w:rPr>
          <w:rFonts w:cs="Arial"/>
        </w:rPr>
        <w:t>Data – Seller has delivered to Buyer true, correct and complete copies of all [</w:t>
      </w:r>
      <w:r>
        <w:rPr>
          <w:rFonts w:cs="Arial"/>
          <w:highlight w:val="yellow"/>
        </w:rPr>
        <w:t>wind/solar</w:t>
      </w:r>
      <w:r>
        <w:rPr>
          <w:rFonts w:cs="Arial"/>
        </w:rPr>
        <w:t>] data related to the Project.</w:t>
      </w:r>
    </w:p>
    <w:p w14:paraId="79AD0415" w14:textId="231EB5F3" w:rsidR="00B63F33" w:rsidRDefault="00B63F33" w:rsidP="007C5A7E">
      <w:pPr>
        <w:keepLines/>
        <w:numPr>
          <w:ilvl w:val="0"/>
          <w:numId w:val="36"/>
        </w:numPr>
        <w:autoSpaceDE w:val="0"/>
        <w:autoSpaceDN w:val="0"/>
        <w:adjustRightInd w:val="0"/>
        <w:spacing w:before="60" w:after="60"/>
        <w:ind w:right="160"/>
        <w:jc w:val="both"/>
        <w:rPr>
          <w:rFonts w:cs="Arial"/>
        </w:rPr>
      </w:pPr>
      <w:r>
        <w:rPr>
          <w:rStyle w:val="DeltaViewInsertion"/>
          <w:rFonts w:cs="Arial"/>
          <w:color w:val="auto"/>
          <w:u w:val="none"/>
        </w:rPr>
        <w:t>Permits -</w:t>
      </w:r>
      <w:bookmarkStart w:id="1025" w:name="_DV_M177"/>
      <w:bookmarkEnd w:id="1024"/>
      <w:bookmarkEnd w:id="1025"/>
      <w:r>
        <w:rPr>
          <w:rFonts w:cs="Arial"/>
        </w:rPr>
        <w:t xml:space="preserve"> All permits </w:t>
      </w:r>
      <w:proofErr w:type="gramStart"/>
      <w:r>
        <w:rPr>
          <w:rFonts w:cs="Arial"/>
        </w:rPr>
        <w:t>required</w:t>
      </w:r>
      <w:proofErr w:type="gramEnd"/>
      <w:r>
        <w:rPr>
          <w:rFonts w:cs="Arial"/>
        </w:rPr>
        <w:t xml:space="preserve"> to own, operate and maintain the Project are held by Seller or an Affiliate, are final and non-appealable, are scheduled, and Seller has obtained and furnished to Buyer true, correct and complete copies of such permits.  Such permits are in full force and effect and are legal, valid, binding and enforceable </w:t>
      </w:r>
      <w:proofErr w:type="gramStart"/>
      <w:r>
        <w:rPr>
          <w:rFonts w:cs="Arial"/>
        </w:rPr>
        <w:t>in accordance with</w:t>
      </w:r>
      <w:proofErr w:type="gramEnd"/>
      <w:r>
        <w:rPr>
          <w:rFonts w:cs="Arial"/>
        </w:rPr>
        <w:t xml:space="preserve"> their respective terms.</w:t>
      </w:r>
    </w:p>
    <w:p w14:paraId="7D829B07" w14:textId="6B1B6E3B" w:rsidR="00B63F33" w:rsidRDefault="00B63F33" w:rsidP="007C5A7E">
      <w:pPr>
        <w:keepLines/>
        <w:numPr>
          <w:ilvl w:val="0"/>
          <w:numId w:val="36"/>
        </w:numPr>
        <w:autoSpaceDE w:val="0"/>
        <w:autoSpaceDN w:val="0"/>
        <w:adjustRightInd w:val="0"/>
        <w:spacing w:before="60" w:after="60"/>
        <w:ind w:right="160"/>
        <w:jc w:val="both"/>
        <w:rPr>
          <w:rFonts w:cs="Arial"/>
        </w:rPr>
      </w:pPr>
      <w:bookmarkStart w:id="1026" w:name="_DV_M179"/>
      <w:bookmarkStart w:id="1027" w:name="_DV_M180"/>
      <w:bookmarkStart w:id="1028" w:name="_DV_M181"/>
      <w:bookmarkStart w:id="1029" w:name="_DV_M187"/>
      <w:bookmarkStart w:id="1030" w:name="_DV_M188"/>
      <w:bookmarkStart w:id="1031" w:name="_DV_M196"/>
      <w:bookmarkEnd w:id="1026"/>
      <w:bookmarkEnd w:id="1027"/>
      <w:bookmarkEnd w:id="1028"/>
      <w:bookmarkEnd w:id="1029"/>
      <w:bookmarkEnd w:id="1030"/>
      <w:bookmarkEnd w:id="1031"/>
      <w:r>
        <w:rPr>
          <w:rFonts w:cs="Arial"/>
        </w:rPr>
        <w:t>Title – Seller or an Affiliate is in possession of and has good and marketable title to the Project free and clear of all encumbrances, except for permitted encumbrances.  Seller and its Affiliates have no legal obligation</w:t>
      </w:r>
      <w:bookmarkStart w:id="1032" w:name="_DV_M197"/>
      <w:bookmarkEnd w:id="1032"/>
      <w:r>
        <w:rPr>
          <w:rFonts w:cs="Arial"/>
        </w:rPr>
        <w:t xml:space="preserve"> or </w:t>
      </w:r>
      <w:bookmarkStart w:id="1033" w:name="_DV_M198"/>
      <w:bookmarkEnd w:id="1033"/>
      <w:r>
        <w:rPr>
          <w:rFonts w:cs="Arial"/>
        </w:rPr>
        <w:t xml:space="preserve">non-binding agreement </w:t>
      </w:r>
      <w:bookmarkStart w:id="1034" w:name="_DV_M199"/>
      <w:bookmarkEnd w:id="1034"/>
      <w:r>
        <w:rPr>
          <w:rFonts w:cs="Arial"/>
        </w:rPr>
        <w:t>in principle with</w:t>
      </w:r>
      <w:bookmarkStart w:id="1035" w:name="_DV_M200"/>
      <w:bookmarkEnd w:id="1035"/>
      <w:r>
        <w:rPr>
          <w:rFonts w:cs="Arial"/>
        </w:rPr>
        <w:t xml:space="preserve"> any other person to sell or affect a sale of all, or any portion of, the Project.</w:t>
      </w:r>
    </w:p>
    <w:p w14:paraId="1682500F" w14:textId="77777777" w:rsidR="00B63F33" w:rsidRDefault="00B63F33" w:rsidP="007C5A7E">
      <w:pPr>
        <w:numPr>
          <w:ilvl w:val="0"/>
          <w:numId w:val="36"/>
        </w:numPr>
        <w:autoSpaceDE w:val="0"/>
        <w:autoSpaceDN w:val="0"/>
        <w:adjustRightInd w:val="0"/>
        <w:spacing w:before="60" w:after="60"/>
        <w:ind w:right="160"/>
        <w:rPr>
          <w:rFonts w:cs="Arial"/>
          <w:b/>
          <w:bCs/>
        </w:rPr>
      </w:pPr>
      <w:r>
        <w:rPr>
          <w:rFonts w:cs="Arial"/>
        </w:rPr>
        <w:t xml:space="preserve">Other representation and warranties customary in a transaction of this nature, including those </w:t>
      </w:r>
      <w:proofErr w:type="gramStart"/>
      <w:r>
        <w:rPr>
          <w:rFonts w:cs="Arial"/>
        </w:rPr>
        <w:t>pertaining to</w:t>
      </w:r>
      <w:proofErr w:type="gramEnd"/>
      <w:r>
        <w:rPr>
          <w:rFonts w:cs="Arial"/>
        </w:rPr>
        <w:t xml:space="preserve"> taxes, title, finders, intellectual property, brokers and insurance.</w:t>
      </w:r>
    </w:p>
    <w:p w14:paraId="20461450" w14:textId="77777777" w:rsidR="00B63F33" w:rsidRDefault="00B63F33">
      <w:pPr>
        <w:pStyle w:val="ListParagraph"/>
        <w:rPr>
          <w:rFonts w:cs="Arial"/>
        </w:rPr>
      </w:pPr>
      <w:bookmarkStart w:id="1036" w:name="_DV_M218"/>
      <w:bookmarkStart w:id="1037" w:name="_DV_M219"/>
      <w:bookmarkStart w:id="1038" w:name="_DV_M220"/>
      <w:bookmarkEnd w:id="1036"/>
      <w:bookmarkEnd w:id="1037"/>
      <w:bookmarkEnd w:id="1038"/>
    </w:p>
    <w:p w14:paraId="3B85F1C4" w14:textId="77777777" w:rsidR="00B63F33" w:rsidRDefault="00B63F33">
      <w:pPr>
        <w:pStyle w:val="ListParagraph"/>
        <w:keepNext/>
        <w:spacing w:after="120"/>
        <w:ind w:left="0"/>
        <w:rPr>
          <w:rFonts w:cs="Arial"/>
          <w:b/>
          <w:bCs/>
          <w:u w:val="single"/>
        </w:rPr>
      </w:pPr>
      <w:bookmarkStart w:id="1039" w:name="_DV_M221"/>
      <w:bookmarkStart w:id="1040" w:name="_DV_M222"/>
      <w:bookmarkStart w:id="1041" w:name="_DV_M223"/>
      <w:bookmarkStart w:id="1042" w:name="_DV_M224"/>
      <w:bookmarkStart w:id="1043" w:name="_DV_M225"/>
      <w:bookmarkStart w:id="1044" w:name="_DV_M226"/>
      <w:bookmarkStart w:id="1045" w:name="_DV_M227"/>
      <w:bookmarkStart w:id="1046" w:name="_DV_M228"/>
      <w:bookmarkStart w:id="1047" w:name="_DV_M230"/>
      <w:bookmarkStart w:id="1048" w:name="_DV_M231"/>
      <w:bookmarkStart w:id="1049" w:name="_DV_M232"/>
      <w:bookmarkStart w:id="1050" w:name="_DV_M233"/>
      <w:bookmarkStart w:id="1051" w:name="_DV_M234"/>
      <w:bookmarkStart w:id="1052" w:name="_DV_M235"/>
      <w:bookmarkStart w:id="1053" w:name="_DV_M236"/>
      <w:bookmarkStart w:id="1054" w:name="_DV_M238"/>
      <w:bookmarkStart w:id="1055" w:name="_DV_M239"/>
      <w:bookmarkStart w:id="1056" w:name="_DV_M241"/>
      <w:bookmarkStart w:id="1057" w:name="_DV_M243"/>
      <w:bookmarkStart w:id="1058" w:name="_DV_M244"/>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r>
        <w:rPr>
          <w:rFonts w:cs="Arial"/>
          <w:b/>
          <w:bCs/>
          <w:u w:val="single"/>
        </w:rPr>
        <w:lastRenderedPageBreak/>
        <w:t>Termination Provisions</w:t>
      </w:r>
    </w:p>
    <w:p w14:paraId="1C98C898" w14:textId="77777777" w:rsidR="00B63F33" w:rsidRDefault="00B63F33">
      <w:pPr>
        <w:rPr>
          <w:rFonts w:cs="Arial"/>
        </w:rPr>
      </w:pPr>
      <w:bookmarkStart w:id="1059" w:name="_DV_M245"/>
      <w:bookmarkEnd w:id="1059"/>
      <w:r>
        <w:rPr>
          <w:rFonts w:cs="Arial"/>
        </w:rPr>
        <w:t>The PSA may be terminated prior to the closing upon written notice by the terminating party (as described below) in the event of certain occurrences, including:</w:t>
      </w:r>
    </w:p>
    <w:p w14:paraId="2C542146" w14:textId="4AA00D4C" w:rsidR="00B63F33" w:rsidRDefault="00B63F33" w:rsidP="007C5A7E">
      <w:pPr>
        <w:numPr>
          <w:ilvl w:val="0"/>
          <w:numId w:val="39"/>
        </w:numPr>
        <w:tabs>
          <w:tab w:val="clear" w:pos="1440"/>
        </w:tabs>
        <w:autoSpaceDE w:val="0"/>
        <w:autoSpaceDN w:val="0"/>
        <w:adjustRightInd w:val="0"/>
        <w:ind w:left="720"/>
        <w:rPr>
          <w:rFonts w:cs="Arial"/>
        </w:rPr>
      </w:pPr>
      <w:bookmarkStart w:id="1060" w:name="_DV_M246"/>
      <w:bookmarkEnd w:id="1060"/>
      <w:r>
        <w:rPr>
          <w:rFonts w:cs="Arial"/>
        </w:rPr>
        <w:t>By either party, in the event the closing has not occurred by a date to be negotiated, regardless of the reason for such termination, provided that the terminating party is not in breach of the PSA.</w:t>
      </w:r>
    </w:p>
    <w:p w14:paraId="328D3ACB" w14:textId="77777777" w:rsidR="00B63F33" w:rsidRDefault="00B63F33" w:rsidP="007C5A7E">
      <w:pPr>
        <w:numPr>
          <w:ilvl w:val="0"/>
          <w:numId w:val="39"/>
        </w:numPr>
        <w:tabs>
          <w:tab w:val="clear" w:pos="1440"/>
        </w:tabs>
        <w:autoSpaceDE w:val="0"/>
        <w:autoSpaceDN w:val="0"/>
        <w:adjustRightInd w:val="0"/>
        <w:ind w:left="720"/>
        <w:rPr>
          <w:rFonts w:cs="Arial"/>
        </w:rPr>
      </w:pPr>
      <w:r>
        <w:rPr>
          <w:rFonts w:cs="Arial"/>
        </w:rPr>
        <w:t>By either party in the event regulatory approvals for the transaction are not obtained on terms reasonably acceptable to Buyer.</w:t>
      </w:r>
    </w:p>
    <w:p w14:paraId="6F1558B5" w14:textId="77777777" w:rsidR="00B63F33" w:rsidRDefault="00B63F33" w:rsidP="007C5A7E">
      <w:pPr>
        <w:numPr>
          <w:ilvl w:val="0"/>
          <w:numId w:val="40"/>
        </w:numPr>
        <w:tabs>
          <w:tab w:val="clear" w:pos="1440"/>
        </w:tabs>
        <w:autoSpaceDE w:val="0"/>
        <w:autoSpaceDN w:val="0"/>
        <w:adjustRightInd w:val="0"/>
        <w:ind w:left="720"/>
        <w:rPr>
          <w:rFonts w:cs="Arial"/>
        </w:rPr>
      </w:pPr>
      <w:r>
        <w:rPr>
          <w:rFonts w:cs="Arial"/>
        </w:rPr>
        <w:t xml:space="preserve">By Buyer in the event any authority has issued an order or taken any other action that restrains, enjoins, or otherwise prohibits the consummation of the transactions contemplated by the PSA, and such order or action is </w:t>
      </w:r>
      <w:proofErr w:type="spellStart"/>
      <w:r>
        <w:rPr>
          <w:rFonts w:cs="Arial"/>
        </w:rPr>
        <w:t>nonappealable</w:t>
      </w:r>
      <w:proofErr w:type="spellEnd"/>
      <w:r>
        <w:rPr>
          <w:rFonts w:cs="Arial"/>
        </w:rPr>
        <w:t>.</w:t>
      </w:r>
    </w:p>
    <w:p w14:paraId="20F9053A" w14:textId="77777777" w:rsidR="00B63F33" w:rsidRDefault="00B63F33" w:rsidP="007C5A7E">
      <w:pPr>
        <w:numPr>
          <w:ilvl w:val="0"/>
          <w:numId w:val="38"/>
        </w:numPr>
        <w:tabs>
          <w:tab w:val="clear" w:pos="3240"/>
        </w:tabs>
        <w:autoSpaceDE w:val="0"/>
        <w:autoSpaceDN w:val="0"/>
        <w:adjustRightInd w:val="0"/>
        <w:ind w:left="720"/>
        <w:rPr>
          <w:rFonts w:cs="Arial"/>
        </w:rPr>
      </w:pPr>
      <w:bookmarkStart w:id="1061" w:name="_DV_M248"/>
      <w:bookmarkEnd w:id="1061"/>
      <w:r>
        <w:rPr>
          <w:rFonts w:cs="Arial"/>
        </w:rPr>
        <w:t>By Buyer in the event of material breach of the PSA by Seller.</w:t>
      </w:r>
    </w:p>
    <w:p w14:paraId="0C4A4416" w14:textId="77777777" w:rsidR="00B63F33" w:rsidRDefault="00B63F33" w:rsidP="007C5A7E">
      <w:pPr>
        <w:numPr>
          <w:ilvl w:val="0"/>
          <w:numId w:val="38"/>
        </w:numPr>
        <w:tabs>
          <w:tab w:val="clear" w:pos="3240"/>
        </w:tabs>
        <w:autoSpaceDE w:val="0"/>
        <w:autoSpaceDN w:val="0"/>
        <w:adjustRightInd w:val="0"/>
        <w:ind w:left="720"/>
        <w:rPr>
          <w:rFonts w:cs="Arial"/>
        </w:rPr>
      </w:pPr>
      <w:r>
        <w:rPr>
          <w:rFonts w:cs="Arial"/>
        </w:rPr>
        <w:t>Security: Seller shall fund and maintain security in favor of Buyer, or a parent guaranty acceptable to Buyer, to secure Seller’s obligations under the PSA including the indemnification provision below.</w:t>
      </w:r>
    </w:p>
    <w:p w14:paraId="1822B472" w14:textId="77777777" w:rsidR="00B63F33" w:rsidRDefault="00B63F33">
      <w:pPr>
        <w:ind w:left="540"/>
        <w:rPr>
          <w:rFonts w:cs="Arial"/>
        </w:rPr>
      </w:pPr>
    </w:p>
    <w:p w14:paraId="06713297" w14:textId="77777777" w:rsidR="00B63F33" w:rsidRDefault="00B63F33">
      <w:pPr>
        <w:pStyle w:val="ListParagraph"/>
        <w:keepNext/>
        <w:spacing w:after="120"/>
        <w:ind w:left="0"/>
        <w:rPr>
          <w:rFonts w:cs="Arial"/>
          <w:b/>
          <w:bCs/>
          <w:u w:val="single"/>
        </w:rPr>
      </w:pPr>
      <w:r>
        <w:rPr>
          <w:rFonts w:cs="Arial"/>
          <w:b/>
          <w:bCs/>
          <w:u w:val="single"/>
        </w:rPr>
        <w:t>Indemnification</w:t>
      </w:r>
    </w:p>
    <w:p w14:paraId="3C32F296" w14:textId="77777777" w:rsidR="00C05EBD" w:rsidRDefault="00B63F33">
      <w:pPr>
        <w:rPr>
          <w:rFonts w:cs="Arial"/>
        </w:rPr>
        <w:sectPr w:rsidR="00C05EBD">
          <w:headerReference w:type="even" r:id="rId107"/>
          <w:footerReference w:type="even" r:id="rId108"/>
          <w:footerReference w:type="default" r:id="rId109"/>
          <w:headerReference w:type="first" r:id="rId110"/>
          <w:footerReference w:type="first" r:id="rId111"/>
          <w:pgSz w:w="12240" w:h="15840" w:code="1"/>
          <w:pgMar w:top="1440" w:right="1440" w:bottom="1440" w:left="1440" w:header="720" w:footer="720" w:gutter="0"/>
          <w:pgNumType w:start="1"/>
          <w:cols w:space="720"/>
        </w:sectPr>
      </w:pPr>
      <w:r>
        <w:rPr>
          <w:rFonts w:cs="Arial"/>
        </w:rPr>
        <w:t>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to be negotiated,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bookmarkStart w:id="1062" w:name="_DV_M249"/>
      <w:bookmarkStart w:id="1063" w:name="_DV_M250"/>
      <w:bookmarkStart w:id="1064" w:name="_DV_M251"/>
      <w:bookmarkStart w:id="1065" w:name="_DV_M252"/>
      <w:bookmarkStart w:id="1066" w:name="_DV_M253"/>
      <w:bookmarkStart w:id="1067" w:name="_DV_M254"/>
      <w:bookmarkStart w:id="1068" w:name="_DV_M255"/>
      <w:bookmarkStart w:id="1069" w:name="_DV_M256"/>
      <w:bookmarkStart w:id="1070" w:name="_DV_M257"/>
      <w:bookmarkStart w:id="1071" w:name="_DV_M258"/>
      <w:bookmarkStart w:id="1072" w:name="_DV_M259"/>
      <w:bookmarkStart w:id="1073" w:name="_DV_M262"/>
      <w:bookmarkStart w:id="1074" w:name="_DV_M263"/>
      <w:bookmarkStart w:id="1075" w:name="_DV_M264"/>
      <w:bookmarkStart w:id="1076" w:name="_DV_M265"/>
      <w:bookmarkStart w:id="1077" w:name="_DV_M266"/>
      <w:bookmarkStart w:id="1078" w:name="_DV_M267"/>
      <w:bookmarkStart w:id="1079" w:name="_DV_M268"/>
      <w:bookmarkStart w:id="1080" w:name="_DV_M269"/>
      <w:bookmarkStart w:id="1081" w:name="_DV_M270"/>
      <w:bookmarkStart w:id="1082" w:name="_DV_M271"/>
      <w:bookmarkStart w:id="1083" w:name="_DV_M272"/>
      <w:bookmarkStart w:id="1084" w:name="_DV_M273"/>
      <w:bookmarkStart w:id="1085" w:name="_DV_M274"/>
      <w:bookmarkStart w:id="1086" w:name="_DV_M275"/>
      <w:bookmarkStart w:id="1087" w:name="_DV_M276"/>
      <w:bookmarkStart w:id="1088" w:name="_DV_M277"/>
      <w:bookmarkStart w:id="1089" w:name="_DV_M278"/>
      <w:bookmarkStart w:id="1090" w:name="_DV_M279"/>
      <w:bookmarkStart w:id="1091" w:name="_DV_M280"/>
      <w:bookmarkStart w:id="1092" w:name="_DV_M281"/>
      <w:bookmarkStart w:id="1093" w:name="_DV_M282"/>
      <w:bookmarkStart w:id="1094" w:name="_DV_M283"/>
      <w:bookmarkStart w:id="1095" w:name="_DV_M284"/>
      <w:bookmarkStart w:id="1096" w:name="_DV_M285"/>
      <w:bookmarkStart w:id="1097" w:name="_DV_M287"/>
      <w:bookmarkStart w:id="1098" w:name="_DV_M288"/>
      <w:bookmarkStart w:id="1099" w:name="_DV_M289"/>
      <w:bookmarkStart w:id="1100" w:name="_DV_M292"/>
      <w:bookmarkStart w:id="1101" w:name="_DV_M293"/>
      <w:bookmarkStart w:id="1102" w:name="_DV_M294"/>
      <w:bookmarkStart w:id="1103" w:name="_DV_M295"/>
      <w:bookmarkStart w:id="1104" w:name="_DV_M296"/>
      <w:bookmarkStart w:id="1105" w:name="_DV_M297"/>
      <w:bookmarkStart w:id="1106" w:name="_DV_M298"/>
      <w:bookmarkStart w:id="1107" w:name="_DV_M299"/>
      <w:bookmarkStart w:id="1108" w:name="_DV_M300"/>
      <w:bookmarkStart w:id="1109" w:name="_DV_M30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p>
    <w:p w14:paraId="7E66043A" w14:textId="77777777" w:rsidR="00BC3574" w:rsidRDefault="00BC3574">
      <w:pPr>
        <w:rPr>
          <w:rFonts w:cs="Arial"/>
        </w:rPr>
        <w:sectPr w:rsidR="00BC3574">
          <w:footerReference w:type="default" r:id="rId112"/>
          <w:pgSz w:w="12240" w:h="15840" w:code="1"/>
          <w:pgMar w:top="1440" w:right="1440" w:bottom="1440" w:left="1440" w:header="720" w:footer="720" w:gutter="0"/>
          <w:pgNumType w:start="1"/>
          <w:cols w:space="720"/>
        </w:sectPr>
      </w:pPr>
    </w:p>
    <w:p w14:paraId="21D88F95" w14:textId="6D798552" w:rsidR="00B63F33" w:rsidRDefault="00BC3574" w:rsidP="005357FF">
      <w:pPr>
        <w:pStyle w:val="ExhibitTitle"/>
        <w:rPr>
          <w:rFonts w:ascii="Times New Roman" w:hAnsi="Times New Roman"/>
          <w:bCs/>
          <w:u w:val="single"/>
        </w:rPr>
      </w:pPr>
      <w:bookmarkStart w:id="1110" w:name="_Toc149813164"/>
      <w:bookmarkStart w:id="1111" w:name="_Ref149814204"/>
      <w:bookmarkStart w:id="1112" w:name="_Ref149814243"/>
      <w:bookmarkStart w:id="1113" w:name="_Toc150954981"/>
      <w:bookmarkStart w:id="1114" w:name="_Hlk67390852"/>
      <w:bookmarkEnd w:id="858"/>
      <w:r>
        <w:t xml:space="preserve">EXHIBIT </w:t>
      </w:r>
      <w:r w:rsidR="00C05EBD">
        <w:t>L-3</w:t>
      </w:r>
      <w:r>
        <w:t xml:space="preserve">- </w:t>
      </w:r>
      <w:r w:rsidR="00B63F33">
        <w:t>MIPSA PROVISIONS</w:t>
      </w:r>
      <w:bookmarkEnd w:id="1110"/>
      <w:bookmarkEnd w:id="1111"/>
      <w:bookmarkEnd w:id="1112"/>
      <w:bookmarkEnd w:id="1113"/>
      <w:r w:rsidR="00B63F33">
        <w:rPr>
          <w:rFonts w:ascii="Times New Roman" w:hAnsi="Times New Roman"/>
          <w:bCs/>
          <w:u w:val="single"/>
        </w:rPr>
        <w:t xml:space="preserve"> </w:t>
      </w:r>
    </w:p>
    <w:p w14:paraId="0C090B78" w14:textId="768F9940" w:rsidR="00B63F33" w:rsidRPr="002B1839" w:rsidRDefault="00B63F33">
      <w:pPr>
        <w:spacing w:after="200"/>
        <w:ind w:firstLine="720"/>
        <w:jc w:val="both"/>
        <w:rPr>
          <w:rFonts w:cs="Arial"/>
          <w:sz w:val="23"/>
          <w:szCs w:val="23"/>
        </w:rPr>
      </w:pPr>
      <w:r>
        <w:rPr>
          <w:rFonts w:cs="Arial"/>
          <w:sz w:val="23"/>
          <w:szCs w:val="23"/>
        </w:rPr>
        <w:t>Any MIPSA executed to implement exercise of Company’s ROFO</w:t>
      </w:r>
      <w:r w:rsidR="00F57CE0">
        <w:rPr>
          <w:rFonts w:cs="Arial"/>
          <w:sz w:val="23"/>
          <w:szCs w:val="23"/>
        </w:rPr>
        <w:t xml:space="preserve"> </w:t>
      </w:r>
      <w:r w:rsidR="00F57CE0" w:rsidRPr="00F57CE0">
        <w:rPr>
          <w:rFonts w:cs="Arial"/>
          <w:sz w:val="23"/>
          <w:szCs w:val="23"/>
        </w:rPr>
        <w:t>or Option</w:t>
      </w:r>
      <w:r w:rsidR="00051FE7">
        <w:rPr>
          <w:rFonts w:cs="Arial"/>
          <w:sz w:val="23"/>
          <w:szCs w:val="23"/>
        </w:rPr>
        <w:t xml:space="preserve"> </w:t>
      </w:r>
      <w:r w:rsidRPr="002B1839">
        <w:rPr>
          <w:rFonts w:cs="Arial"/>
          <w:sz w:val="23"/>
          <w:szCs w:val="23"/>
        </w:rPr>
        <w:t>rights will include provisions substantially as follows:</w:t>
      </w:r>
    </w:p>
    <w:p w14:paraId="5209A0E2" w14:textId="77777777" w:rsidR="00B63F33" w:rsidRDefault="00B63F33">
      <w:pPr>
        <w:pStyle w:val="Header"/>
        <w:spacing w:after="120"/>
        <w:rPr>
          <w:rFonts w:cs="Arial"/>
          <w:b/>
          <w:bCs/>
          <w:u w:val="single"/>
        </w:rPr>
      </w:pPr>
      <w:r>
        <w:rPr>
          <w:rFonts w:cs="Arial"/>
          <w:b/>
          <w:bCs/>
          <w:u w:val="single"/>
        </w:rPr>
        <w:t>Type of Transaction</w:t>
      </w:r>
    </w:p>
    <w:p w14:paraId="566DD0F9" w14:textId="2D9EF81C" w:rsidR="00B63F33" w:rsidRDefault="00B63F33">
      <w:pPr>
        <w:pStyle w:val="BodyText"/>
        <w:rPr>
          <w:rFonts w:cs="Arial"/>
        </w:rPr>
      </w:pPr>
      <w:r>
        <w:rPr>
          <w:rStyle w:val="DeltaViewInsertion"/>
          <w:rFonts w:cs="Arial"/>
          <w:color w:val="auto"/>
          <w:u w:val="none"/>
        </w:rPr>
        <w:t xml:space="preserve">The transaction will be structured as an entity acquisition. </w:t>
      </w:r>
      <w:r>
        <w:rPr>
          <w:rStyle w:val="DeltaViewInsertion"/>
          <w:rFonts w:cs="Arial"/>
          <w:color w:val="auto"/>
          <w:u w:val="none"/>
          <w:lang w:val="en-US"/>
        </w:rPr>
        <w:t>Company (“</w:t>
      </w:r>
      <w:r>
        <w:rPr>
          <w:rFonts w:cs="Arial"/>
        </w:rPr>
        <w:t>Buyer</w:t>
      </w:r>
      <w:r>
        <w:rPr>
          <w:rFonts w:cs="Arial"/>
          <w:lang w:val="en-US"/>
        </w:rPr>
        <w:t>”)</w:t>
      </w:r>
      <w:r>
        <w:rPr>
          <w:rFonts w:cs="Arial"/>
        </w:rPr>
        <w:t xml:space="preserve"> shall purchase</w:t>
      </w:r>
      <w:r>
        <w:rPr>
          <w:rStyle w:val="DeltaViewInsertion"/>
          <w:rFonts w:cs="Arial"/>
          <w:color w:val="auto"/>
          <w:u w:val="none"/>
        </w:rPr>
        <w:t xml:space="preserve"> and Seller shall sell</w:t>
      </w:r>
      <w:r>
        <w:rPr>
          <w:rFonts w:cs="Arial"/>
        </w:rPr>
        <w:t xml:space="preserve"> 100% of its direct and indirect equity ownership interests of the project company (“</w:t>
      </w:r>
      <w:r>
        <w:rPr>
          <w:rFonts w:cs="Arial"/>
          <w:lang w:val="en-US"/>
        </w:rPr>
        <w:t xml:space="preserve">Project </w:t>
      </w:r>
      <w:r>
        <w:rPr>
          <w:rFonts w:cs="Arial"/>
        </w:rPr>
        <w:t xml:space="preserve">Company”) (including, if applicable, Seller’s (or its affiliates) direct and indirect equity ownership interest in any tax equity partnership (the “TE Partnership”) that owns, directly or indirectly, equity ownership interests of the </w:t>
      </w:r>
      <w:r>
        <w:rPr>
          <w:rFonts w:cs="Arial"/>
          <w:lang w:val="en-US"/>
        </w:rPr>
        <w:t xml:space="preserve">Project </w:t>
      </w:r>
      <w:r>
        <w:rPr>
          <w:rFonts w:cs="Arial"/>
        </w:rPr>
        <w:t>Company, together, the “Equity Interests”), which owns a completed, commercially operational, integrated [</w:t>
      </w:r>
      <w:r>
        <w:rPr>
          <w:rFonts w:cs="Arial"/>
          <w:highlight w:val="yellow"/>
        </w:rPr>
        <w:t>wind-powered]/solar-powered</w:t>
      </w:r>
      <w:r>
        <w:rPr>
          <w:rFonts w:cs="Arial"/>
        </w:rPr>
        <w:t>] electricity generating plant with nameplate capacity of [</w:t>
      </w:r>
      <w:r>
        <w:rPr>
          <w:rFonts w:cs="Arial"/>
          <w:highlight w:val="yellow"/>
        </w:rPr>
        <w:t>XX</w:t>
      </w:r>
      <w:r>
        <w:rPr>
          <w:rFonts w:cs="Arial"/>
        </w:rPr>
        <w:t>] MW AC and all facilities [including energy storage facilities] and all other assets and rights relating to the proje</w:t>
      </w:r>
      <w:r w:rsidRPr="0018162E">
        <w:rPr>
          <w:rFonts w:cs="Arial"/>
          <w:color w:val="000000" w:themeColor="text1"/>
        </w:rPr>
        <w:t xml:space="preserve">ct </w:t>
      </w:r>
      <w:bookmarkStart w:id="1115" w:name="_cp_change_297"/>
      <w:r w:rsidRPr="0018162E">
        <w:rPr>
          <w:rFonts w:cs="Arial"/>
          <w:color w:val="000000" w:themeColor="text1"/>
          <w:lang w:val="en-US"/>
        </w:rPr>
        <w:t xml:space="preserve">including any permits or other instruments necessary to operate and maintain the plant as designed and constructed </w:t>
      </w:r>
      <w:bookmarkEnd w:id="1115"/>
      <w:r w:rsidRPr="0018162E">
        <w:rPr>
          <w:rFonts w:cs="Arial"/>
          <w:color w:val="000000" w:themeColor="text1"/>
        </w:rPr>
        <w:t>(the “Project”), free and clear of all encumbrance</w:t>
      </w:r>
      <w:r>
        <w:rPr>
          <w:rFonts w:cs="Arial"/>
        </w:rPr>
        <w:t xml:space="preserve">s and liabilities, except for permitted encumbrances and assumed liabilities as defined in the </w:t>
      </w:r>
      <w:r>
        <w:rPr>
          <w:rFonts w:cs="Arial"/>
          <w:lang w:val="en-US"/>
        </w:rPr>
        <w:t>PSA</w:t>
      </w:r>
      <w:r>
        <w:rPr>
          <w:rFonts w:cs="Arial"/>
        </w:rPr>
        <w:t>.</w:t>
      </w:r>
    </w:p>
    <w:p w14:paraId="4DF6B640" w14:textId="77777777" w:rsidR="00B63F33" w:rsidRDefault="00B63F33">
      <w:pPr>
        <w:pStyle w:val="tabletxt"/>
        <w:widowControl/>
        <w:rPr>
          <w:b/>
          <w:bCs/>
          <w:sz w:val="24"/>
          <w:szCs w:val="24"/>
          <w:u w:val="single"/>
        </w:rPr>
      </w:pPr>
      <w:r>
        <w:rPr>
          <w:b/>
          <w:bCs/>
          <w:sz w:val="24"/>
          <w:szCs w:val="24"/>
          <w:u w:val="single"/>
        </w:rPr>
        <w:t>Purchase Price</w:t>
      </w:r>
      <w:r>
        <w:rPr>
          <w:rStyle w:val="DeltaViewInsertion"/>
          <w:b/>
          <w:bCs/>
          <w:color w:val="auto"/>
          <w:sz w:val="24"/>
          <w:szCs w:val="24"/>
          <w:u w:val="single"/>
        </w:rPr>
        <w:t xml:space="preserve"> and Payment Terms</w:t>
      </w:r>
    </w:p>
    <w:p w14:paraId="0CBA8E45" w14:textId="79FDA902" w:rsidR="00B63F33" w:rsidRDefault="00B63F33">
      <w:pPr>
        <w:pStyle w:val="tabletxt"/>
        <w:widowControl/>
        <w:spacing w:before="0" w:after="0"/>
        <w:rPr>
          <w:rStyle w:val="DeltaViewInsertion"/>
          <w:color w:val="auto"/>
          <w:sz w:val="24"/>
          <w:szCs w:val="24"/>
          <w:u w:val="none"/>
        </w:rPr>
      </w:pPr>
      <w:r>
        <w:rPr>
          <w:rStyle w:val="DeltaViewInsertion"/>
          <w:color w:val="auto"/>
          <w:sz w:val="24"/>
          <w:szCs w:val="24"/>
          <w:u w:val="none"/>
        </w:rPr>
        <w:t>Buyer shall pay Seller the “Purchase Price</w:t>
      </w:r>
      <w:r w:rsidRPr="002B1839">
        <w:rPr>
          <w:rStyle w:val="DeltaViewInsertion"/>
          <w:color w:val="auto"/>
          <w:sz w:val="24"/>
          <w:szCs w:val="24"/>
          <w:u w:val="none"/>
        </w:rPr>
        <w:t xml:space="preserve">,” </w:t>
      </w:r>
      <w:r w:rsidRPr="002B1839">
        <w:rPr>
          <w:sz w:val="24"/>
          <w:szCs w:val="24"/>
        </w:rPr>
        <w:t xml:space="preserve">which </w:t>
      </w:r>
      <w:r>
        <w:rPr>
          <w:sz w:val="24"/>
          <w:szCs w:val="24"/>
        </w:rPr>
        <w:t xml:space="preserve">is </w:t>
      </w:r>
      <w:proofErr w:type="gramStart"/>
      <w:r>
        <w:rPr>
          <w:sz w:val="24"/>
          <w:szCs w:val="24"/>
        </w:rPr>
        <w:t>determined</w:t>
      </w:r>
      <w:proofErr w:type="gramEnd"/>
      <w:r>
        <w:rPr>
          <w:sz w:val="24"/>
          <w:szCs w:val="24"/>
        </w:rPr>
        <w:t xml:space="preserve"> pursuant to </w:t>
      </w:r>
      <w:r>
        <w:rPr>
          <w:sz w:val="24"/>
          <w:u w:val="single"/>
        </w:rPr>
        <w:t xml:space="preserve">Section </w:t>
      </w:r>
      <w:r w:rsidR="009720F4">
        <w:rPr>
          <w:sz w:val="24"/>
          <w:u w:val="single"/>
        </w:rPr>
        <w:fldChar w:fldCharType="begin"/>
      </w:r>
      <w:r w:rsidR="009720F4">
        <w:rPr>
          <w:sz w:val="24"/>
          <w:u w:val="single"/>
        </w:rPr>
        <w:instrText xml:space="preserve"> REF _Ref149812097 \w \h </w:instrText>
      </w:r>
      <w:r w:rsidR="009720F4">
        <w:rPr>
          <w:sz w:val="24"/>
          <w:u w:val="single"/>
        </w:rPr>
      </w:r>
      <w:r w:rsidR="009720F4">
        <w:rPr>
          <w:sz w:val="24"/>
          <w:u w:val="single"/>
        </w:rPr>
        <w:fldChar w:fldCharType="separate"/>
      </w:r>
      <w:r w:rsidR="009720F4">
        <w:rPr>
          <w:sz w:val="24"/>
          <w:u w:val="single"/>
        </w:rPr>
        <w:t>19.5(C)</w:t>
      </w:r>
      <w:r w:rsidR="009720F4">
        <w:rPr>
          <w:sz w:val="24"/>
          <w:u w:val="single"/>
        </w:rPr>
        <w:fldChar w:fldCharType="end"/>
      </w:r>
      <w:r>
        <w:rPr>
          <w:sz w:val="24"/>
          <w:szCs w:val="24"/>
        </w:rPr>
        <w:t xml:space="preserve"> of this PPA</w:t>
      </w:r>
      <w:r>
        <w:rPr>
          <w:rStyle w:val="DeltaViewInsertion"/>
          <w:color w:val="auto"/>
          <w:sz w:val="24"/>
          <w:szCs w:val="24"/>
          <w:u w:val="none"/>
        </w:rPr>
        <w:t>.</w:t>
      </w:r>
    </w:p>
    <w:p w14:paraId="6BF09873" w14:textId="77777777" w:rsidR="00B63F33" w:rsidRDefault="00B63F33">
      <w:pPr>
        <w:pStyle w:val="tabletxt"/>
        <w:widowControl/>
        <w:spacing w:before="0" w:after="0"/>
        <w:rPr>
          <w:rStyle w:val="DeltaViewInsertion"/>
          <w:color w:val="auto"/>
          <w:sz w:val="24"/>
          <w:szCs w:val="24"/>
          <w:u w:val="none"/>
        </w:rPr>
      </w:pPr>
    </w:p>
    <w:p w14:paraId="08155424" w14:textId="5AC9B68D" w:rsidR="00B63F33" w:rsidRDefault="00B63F33">
      <w:pPr>
        <w:pStyle w:val="tabletxt"/>
        <w:widowControl/>
        <w:spacing w:before="0" w:after="0"/>
        <w:rPr>
          <w:rStyle w:val="DeltaViewInsertion"/>
          <w:color w:val="auto"/>
          <w:sz w:val="24"/>
          <w:szCs w:val="24"/>
          <w:u w:val="none"/>
        </w:rPr>
      </w:pPr>
      <w:r>
        <w:rPr>
          <w:rStyle w:val="DeltaViewInsertion"/>
          <w:color w:val="auto"/>
          <w:sz w:val="24"/>
          <w:szCs w:val="24"/>
          <w:u w:val="none"/>
        </w:rPr>
        <w:t xml:space="preserve">Buyer shall be entitled to withhold from the payment of the Purchase Price a total amount not to exceed 20% of the Purchase </w:t>
      </w:r>
      <w:r w:rsidR="004C0ECE">
        <w:rPr>
          <w:rStyle w:val="DeltaViewInsertion"/>
          <w:color w:val="auto"/>
          <w:sz w:val="24"/>
          <w:szCs w:val="24"/>
          <w:u w:val="none"/>
        </w:rPr>
        <w:t>Price in</w:t>
      </w:r>
      <w:r>
        <w:rPr>
          <w:rStyle w:val="DeltaViewInsertion"/>
          <w:color w:val="auto"/>
          <w:sz w:val="24"/>
          <w:szCs w:val="24"/>
          <w:u w:val="none"/>
        </w:rPr>
        <w:t xml:space="preserve"> the event of certain breaches of Seller’s representations, warranties or covenants pending Seller’s cure of any such breach. </w:t>
      </w:r>
    </w:p>
    <w:p w14:paraId="35498CF8" w14:textId="77777777" w:rsidR="00B63F33" w:rsidRDefault="00B63F33">
      <w:pPr>
        <w:pStyle w:val="tabletxt"/>
        <w:widowControl/>
        <w:spacing w:before="0" w:after="0"/>
        <w:rPr>
          <w:rStyle w:val="DeltaViewInsertion"/>
          <w:color w:val="auto"/>
          <w:sz w:val="24"/>
          <w:szCs w:val="24"/>
          <w:u w:val="none"/>
        </w:rPr>
      </w:pPr>
    </w:p>
    <w:p w14:paraId="61B1E028" w14:textId="77777777" w:rsidR="00B63F33" w:rsidRDefault="00B63F33">
      <w:pPr>
        <w:pStyle w:val="tabletxt"/>
        <w:widowControl/>
        <w:spacing w:before="0" w:after="0"/>
        <w:rPr>
          <w:sz w:val="24"/>
          <w:szCs w:val="24"/>
        </w:rPr>
      </w:pPr>
      <w:r>
        <w:rPr>
          <w:rStyle w:val="DeltaViewInsertion"/>
          <w:color w:val="auto"/>
          <w:sz w:val="24"/>
          <w:szCs w:val="24"/>
          <w:u w:val="none"/>
        </w:rPr>
        <w:t>Seller shall be responsible for all taxes relating to the pre-closing period and all transfer taxes and any sales, use or other taxes related to the purchase and sale of the Equity Interests and any purchase or conveyance of real or personal property to the Project Company to be used in the Project.</w:t>
      </w:r>
    </w:p>
    <w:p w14:paraId="7FF1451B" w14:textId="77777777" w:rsidR="00B63F33" w:rsidRDefault="00B63F33">
      <w:pPr>
        <w:pStyle w:val="Header"/>
        <w:jc w:val="both"/>
        <w:rPr>
          <w:rFonts w:cs="Arial"/>
          <w:b/>
          <w:bCs/>
        </w:rPr>
      </w:pPr>
    </w:p>
    <w:p w14:paraId="65F51032" w14:textId="77777777" w:rsidR="00B63F33" w:rsidRDefault="00B63F33">
      <w:pPr>
        <w:pStyle w:val="tabletxt"/>
        <w:widowControl/>
        <w:spacing w:before="0" w:after="120"/>
        <w:rPr>
          <w:b/>
          <w:bCs/>
          <w:sz w:val="24"/>
          <w:szCs w:val="24"/>
          <w:u w:val="single"/>
        </w:rPr>
      </w:pPr>
      <w:r>
        <w:rPr>
          <w:b/>
          <w:bCs/>
          <w:sz w:val="24"/>
          <w:szCs w:val="24"/>
          <w:u w:val="single"/>
        </w:rPr>
        <w:t>Seller’s Closing Deliverables:</w:t>
      </w:r>
    </w:p>
    <w:p w14:paraId="057B43E1" w14:textId="77777777" w:rsidR="00B63F33" w:rsidRDefault="00B63F33">
      <w:pPr>
        <w:pStyle w:val="tabletxt"/>
        <w:widowControl/>
        <w:spacing w:before="0" w:after="120"/>
        <w:rPr>
          <w:bCs/>
          <w:sz w:val="24"/>
          <w:szCs w:val="24"/>
        </w:rPr>
      </w:pPr>
      <w:r>
        <w:rPr>
          <w:bCs/>
          <w:sz w:val="24"/>
          <w:szCs w:val="24"/>
        </w:rPr>
        <w:t>Upon the terms and conditions to be defined within the PSA, the obligations of Buyer to consummate the transactions contemplated are subject to the satisfaction by Seller of certain closing conditions, including:</w:t>
      </w:r>
    </w:p>
    <w:p w14:paraId="64E7CFED" w14:textId="77777777" w:rsidR="00B63F33" w:rsidRDefault="00B63F33" w:rsidP="007C5A7E">
      <w:pPr>
        <w:pStyle w:val="tabletxt"/>
        <w:widowControl/>
        <w:numPr>
          <w:ilvl w:val="0"/>
          <w:numId w:val="35"/>
        </w:numPr>
        <w:spacing w:before="0"/>
        <w:ind w:left="720"/>
        <w:rPr>
          <w:sz w:val="24"/>
          <w:szCs w:val="24"/>
        </w:rPr>
      </w:pPr>
      <w:r>
        <w:rPr>
          <w:sz w:val="24"/>
          <w:szCs w:val="24"/>
        </w:rPr>
        <w:t>Transfer of the Equity Interests, which include all rights and title to assets necessary for the commercial operation of the Project, to Buyer or its designated affiliate.</w:t>
      </w:r>
    </w:p>
    <w:p w14:paraId="2C2091FD" w14:textId="77777777" w:rsidR="00B63F33" w:rsidRDefault="00B63F33" w:rsidP="007C5A7E">
      <w:pPr>
        <w:pStyle w:val="tabletxt"/>
        <w:widowControl/>
        <w:numPr>
          <w:ilvl w:val="0"/>
          <w:numId w:val="35"/>
        </w:numPr>
        <w:spacing w:before="0"/>
        <w:ind w:left="720"/>
        <w:rPr>
          <w:sz w:val="24"/>
          <w:szCs w:val="24"/>
        </w:rPr>
      </w:pPr>
      <w:r>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14:paraId="788D570C" w14:textId="77777777" w:rsidR="00B63F33" w:rsidRDefault="00B63F33" w:rsidP="007C5A7E">
      <w:pPr>
        <w:pStyle w:val="tabletxt"/>
        <w:widowControl/>
        <w:numPr>
          <w:ilvl w:val="0"/>
          <w:numId w:val="35"/>
        </w:numPr>
        <w:spacing w:before="0"/>
        <w:ind w:left="720"/>
        <w:rPr>
          <w:sz w:val="24"/>
          <w:szCs w:val="24"/>
        </w:rPr>
      </w:pPr>
      <w:r>
        <w:rPr>
          <w:sz w:val="24"/>
          <w:szCs w:val="24"/>
        </w:rPr>
        <w:lastRenderedPageBreak/>
        <w:t xml:space="preserve">Evidence that </w:t>
      </w:r>
      <w:r>
        <w:rPr>
          <w:rStyle w:val="DeltaViewInsertion"/>
          <w:color w:val="auto"/>
          <w:sz w:val="24"/>
          <w:szCs w:val="24"/>
          <w:u w:val="none"/>
        </w:rPr>
        <w:t>any liens</w:t>
      </w:r>
      <w:r>
        <w:rPr>
          <w:sz w:val="24"/>
          <w:szCs w:val="24"/>
        </w:rPr>
        <w:t xml:space="preserve"> on the Equity Interests, Project Company, </w:t>
      </w:r>
      <w:r>
        <w:rPr>
          <w:rStyle w:val="DeltaViewInsertion"/>
          <w:color w:val="auto"/>
          <w:sz w:val="24"/>
          <w:szCs w:val="24"/>
          <w:u w:val="none"/>
        </w:rPr>
        <w:t xml:space="preserve">Project, real property or any other assets or interests of the Project Company </w:t>
      </w:r>
      <w:r>
        <w:rPr>
          <w:sz w:val="24"/>
          <w:szCs w:val="24"/>
        </w:rPr>
        <w:t xml:space="preserve">have been </w:t>
      </w:r>
      <w:r>
        <w:rPr>
          <w:rStyle w:val="DeltaViewInsertion"/>
          <w:color w:val="auto"/>
          <w:sz w:val="24"/>
          <w:szCs w:val="24"/>
          <w:u w:val="none"/>
        </w:rPr>
        <w:t>removed</w:t>
      </w:r>
      <w:r>
        <w:rPr>
          <w:sz w:val="24"/>
          <w:szCs w:val="24"/>
        </w:rPr>
        <w:t xml:space="preserve"> as of the </w:t>
      </w:r>
      <w:r>
        <w:rPr>
          <w:rStyle w:val="DeltaViewInsertion"/>
          <w:color w:val="auto"/>
          <w:sz w:val="24"/>
          <w:szCs w:val="24"/>
          <w:u w:val="none"/>
        </w:rPr>
        <w:t>closing</w:t>
      </w:r>
      <w:r>
        <w:rPr>
          <w:sz w:val="24"/>
          <w:szCs w:val="24"/>
        </w:rPr>
        <w:t xml:space="preserve"> other than permitted </w:t>
      </w:r>
      <w:r>
        <w:rPr>
          <w:rStyle w:val="DeltaViewInsertion"/>
          <w:color w:val="auto"/>
          <w:sz w:val="24"/>
          <w:szCs w:val="24"/>
          <w:u w:val="none"/>
        </w:rPr>
        <w:t>liens</w:t>
      </w:r>
      <w:r>
        <w:rPr>
          <w:sz w:val="24"/>
          <w:szCs w:val="24"/>
        </w:rPr>
        <w:t xml:space="preserve"> which have been scheduled or </w:t>
      </w:r>
      <w:r>
        <w:rPr>
          <w:rStyle w:val="DeltaViewInsertion"/>
          <w:color w:val="auto"/>
          <w:sz w:val="24"/>
          <w:szCs w:val="24"/>
          <w:u w:val="none"/>
        </w:rPr>
        <w:t>liens</w:t>
      </w:r>
      <w:r>
        <w:rPr>
          <w:sz w:val="24"/>
          <w:szCs w:val="24"/>
        </w:rPr>
        <w:t xml:space="preserve"> which have been scheduled and bonded to Buyer’s reasonable satisfaction.</w:t>
      </w:r>
    </w:p>
    <w:p w14:paraId="615153C7" w14:textId="77777777" w:rsidR="00B63F33" w:rsidRDefault="00B63F33" w:rsidP="007C5A7E">
      <w:pPr>
        <w:pStyle w:val="tabletxt"/>
        <w:widowControl/>
        <w:numPr>
          <w:ilvl w:val="0"/>
          <w:numId w:val="35"/>
        </w:numPr>
        <w:spacing w:before="0"/>
        <w:ind w:left="720"/>
        <w:rPr>
          <w:sz w:val="24"/>
          <w:szCs w:val="24"/>
        </w:rPr>
      </w:pPr>
      <w:r>
        <w:rPr>
          <w:sz w:val="24"/>
          <w:szCs w:val="24"/>
        </w:rPr>
        <w:t xml:space="preserve">Certain conditions do not exist at the time of closing including, but not limited to, the existence of a material adverse effect.  A material adverse effect would be defined in the PSA and would include, in addition to other terms, a change in tax law that could have a negative impact on Buyer’s business, the Equity Interests, or the economic viability of the Project.  </w:t>
      </w:r>
    </w:p>
    <w:p w14:paraId="0807F334" w14:textId="77777777" w:rsidR="00B63F33" w:rsidRDefault="00B63F33" w:rsidP="007C5A7E">
      <w:pPr>
        <w:pStyle w:val="tabletxt"/>
        <w:widowControl/>
        <w:numPr>
          <w:ilvl w:val="0"/>
          <w:numId w:val="35"/>
        </w:numPr>
        <w:spacing w:before="0"/>
        <w:ind w:left="720"/>
        <w:rPr>
          <w:sz w:val="24"/>
          <w:szCs w:val="24"/>
        </w:rPr>
      </w:pPr>
      <w:r>
        <w:rPr>
          <w:sz w:val="24"/>
          <w:szCs w:val="24"/>
        </w:rPr>
        <w:t>All certifications, affidavits, approvals and permits required to demonstrate satisfaction of all representations, warranties, and covenants made by Seller pertaining to the closing.</w:t>
      </w:r>
    </w:p>
    <w:p w14:paraId="3409D9AC" w14:textId="77777777" w:rsidR="00B63F33" w:rsidRDefault="00B63F33">
      <w:pPr>
        <w:pStyle w:val="tabletxt"/>
        <w:widowControl/>
        <w:spacing w:before="0" w:after="0"/>
        <w:ind w:left="360"/>
        <w:rPr>
          <w:sz w:val="24"/>
          <w:szCs w:val="24"/>
        </w:rPr>
      </w:pPr>
    </w:p>
    <w:p w14:paraId="78F075C5" w14:textId="77777777" w:rsidR="00B63F33" w:rsidRDefault="00B63F33">
      <w:pPr>
        <w:pStyle w:val="tabletxt"/>
        <w:widowControl/>
        <w:spacing w:before="0" w:after="120"/>
        <w:rPr>
          <w:b/>
          <w:bCs/>
          <w:sz w:val="24"/>
          <w:szCs w:val="24"/>
          <w:u w:val="single"/>
        </w:rPr>
      </w:pPr>
      <w:r>
        <w:rPr>
          <w:b/>
          <w:bCs/>
          <w:sz w:val="24"/>
          <w:szCs w:val="24"/>
          <w:u w:val="single"/>
        </w:rPr>
        <w:t>Buyer’s Closing Deliverables:</w:t>
      </w:r>
    </w:p>
    <w:p w14:paraId="3BE3020C" w14:textId="77777777" w:rsidR="00B63F33" w:rsidRDefault="00B63F33">
      <w:pPr>
        <w:pStyle w:val="tabletxt"/>
        <w:widowControl/>
        <w:spacing w:before="0" w:after="120"/>
        <w:rPr>
          <w:bCs/>
          <w:sz w:val="24"/>
          <w:szCs w:val="24"/>
        </w:rPr>
      </w:pPr>
      <w:r>
        <w:rPr>
          <w:bCs/>
          <w:sz w:val="24"/>
          <w:szCs w:val="24"/>
        </w:rPr>
        <w:t>Upon the terms and conditions to be defined within the PSA, the obligations of Seller to consummate the transactions contemplated are subject to the satisfaction by Buyer of certain closing conditions, including:</w:t>
      </w:r>
    </w:p>
    <w:p w14:paraId="0ED26D64" w14:textId="77777777" w:rsidR="00B63F33" w:rsidRDefault="00B63F33" w:rsidP="007C5A7E">
      <w:pPr>
        <w:pStyle w:val="tabletxt"/>
        <w:widowControl/>
        <w:numPr>
          <w:ilvl w:val="0"/>
          <w:numId w:val="35"/>
        </w:numPr>
        <w:spacing w:before="0"/>
        <w:ind w:left="720"/>
        <w:rPr>
          <w:sz w:val="24"/>
          <w:szCs w:val="24"/>
        </w:rPr>
      </w:pPr>
      <w:r>
        <w:rPr>
          <w:sz w:val="24"/>
          <w:szCs w:val="24"/>
        </w:rPr>
        <w:t>Delivery of the Purchase Price.</w:t>
      </w:r>
    </w:p>
    <w:p w14:paraId="39BB3F70" w14:textId="77777777" w:rsidR="00B63F33" w:rsidRDefault="00B63F33" w:rsidP="007C5A7E">
      <w:pPr>
        <w:pStyle w:val="tabletxt"/>
        <w:widowControl/>
        <w:numPr>
          <w:ilvl w:val="0"/>
          <w:numId w:val="35"/>
        </w:numPr>
        <w:spacing w:before="0"/>
        <w:ind w:left="720"/>
        <w:rPr>
          <w:sz w:val="24"/>
          <w:szCs w:val="24"/>
        </w:rPr>
      </w:pPr>
      <w:r>
        <w:rPr>
          <w:sz w:val="24"/>
          <w:szCs w:val="24"/>
        </w:rPr>
        <w:t>All certifications, affidavits, approvals and permits required to demonstrate satisfaction of all representations, warranties, and covenants made by Buyer pertaining to the closing.</w:t>
      </w:r>
    </w:p>
    <w:p w14:paraId="5F7D88AC" w14:textId="77777777" w:rsidR="00B63F33" w:rsidRDefault="00B63F33">
      <w:pPr>
        <w:rPr>
          <w:rFonts w:cs="Arial"/>
          <w:b/>
          <w:bCs/>
        </w:rPr>
      </w:pPr>
    </w:p>
    <w:p w14:paraId="6DF11848" w14:textId="4494C04E" w:rsidR="00B63F33" w:rsidRPr="0082472C" w:rsidRDefault="00B63F33" w:rsidP="0018162E">
      <w:pPr>
        <w:pStyle w:val="Heading2"/>
        <w:keepNext w:val="0"/>
        <w:numPr>
          <w:ilvl w:val="0"/>
          <w:numId w:val="0"/>
        </w:numPr>
        <w:spacing w:after="120"/>
        <w:rPr>
          <w:b/>
          <w:i w:val="0"/>
          <w:u w:val="single"/>
        </w:rPr>
      </w:pPr>
      <w:r>
        <w:rPr>
          <w:b/>
          <w:i w:val="0"/>
          <w:u w:val="single"/>
        </w:rPr>
        <w:t>Required Approvals</w:t>
      </w:r>
      <w:bookmarkStart w:id="1116" w:name="_cp_change_298"/>
      <w:r>
        <w:rPr>
          <w:b/>
          <w:bCs w:val="0"/>
          <w:i w:val="0"/>
          <w:iCs w:val="0"/>
          <w:color w:val="0000FF"/>
          <w:u w:val="double" w:color="0000FF"/>
        </w:rPr>
        <w:t>:</w:t>
      </w:r>
      <w:bookmarkEnd w:id="1116"/>
    </w:p>
    <w:p w14:paraId="553D6E47" w14:textId="77777777" w:rsidR="00B63F33" w:rsidRDefault="00B63F33">
      <w:pPr>
        <w:pStyle w:val="Header"/>
        <w:spacing w:before="60" w:after="60"/>
        <w:rPr>
          <w:rFonts w:cs="Arial"/>
        </w:rPr>
      </w:pPr>
      <w:r>
        <w:rPr>
          <w:rFonts w:cs="Arial"/>
        </w:rPr>
        <w:t>The transaction is subject to obtaining specified approvals, authorizations, or orders, including but not limited to the following (to the extent necessary):</w:t>
      </w:r>
    </w:p>
    <w:p w14:paraId="30BC77D4" w14:textId="77777777" w:rsidR="00B63F33" w:rsidRDefault="00B63F33" w:rsidP="007C5A7E">
      <w:pPr>
        <w:pStyle w:val="Header"/>
        <w:widowControl w:val="0"/>
        <w:numPr>
          <w:ilvl w:val="0"/>
          <w:numId w:val="34"/>
        </w:numPr>
        <w:tabs>
          <w:tab w:val="clear" w:pos="826"/>
          <w:tab w:val="clear" w:pos="4680"/>
          <w:tab w:val="clear" w:pos="9360"/>
        </w:tabs>
        <w:autoSpaceDE w:val="0"/>
        <w:autoSpaceDN w:val="0"/>
        <w:adjustRightInd w:val="0"/>
        <w:spacing w:before="60" w:after="60"/>
        <w:ind w:left="720"/>
        <w:rPr>
          <w:rFonts w:cs="Arial"/>
        </w:rPr>
      </w:pPr>
      <w:r>
        <w:rPr>
          <w:rFonts w:cs="Arial"/>
        </w:rPr>
        <w:t xml:space="preserve">Approval of the board of directors of Buyer and the board of directors or similar governing body of Seller shall be obtained prior to execution of the </w:t>
      </w:r>
      <w:r>
        <w:rPr>
          <w:rFonts w:cs="Arial"/>
          <w:lang w:val="en-US"/>
        </w:rPr>
        <w:t>PSA</w:t>
      </w:r>
      <w:r>
        <w:rPr>
          <w:rFonts w:cs="Arial"/>
        </w:rPr>
        <w:t>.</w:t>
      </w:r>
    </w:p>
    <w:p w14:paraId="494DD848" w14:textId="77777777" w:rsidR="00B63F33" w:rsidRDefault="00B63F33" w:rsidP="007C5A7E">
      <w:pPr>
        <w:pStyle w:val="Header"/>
        <w:numPr>
          <w:ilvl w:val="0"/>
          <w:numId w:val="34"/>
        </w:numPr>
        <w:tabs>
          <w:tab w:val="clear" w:pos="826"/>
          <w:tab w:val="clear" w:pos="4680"/>
          <w:tab w:val="clear" w:pos="9360"/>
        </w:tabs>
        <w:spacing w:before="60" w:after="60"/>
        <w:ind w:left="720"/>
        <w:rPr>
          <w:rFonts w:cs="Arial"/>
        </w:rPr>
      </w:pPr>
      <w:r>
        <w:rPr>
          <w:rFonts w:cs="Arial"/>
        </w:rPr>
        <w:t>Third party consents.</w:t>
      </w:r>
    </w:p>
    <w:p w14:paraId="4A6F1AF2" w14:textId="11AC1DB0" w:rsidR="00B63F33" w:rsidRDefault="00B63F33" w:rsidP="007C5A7E">
      <w:pPr>
        <w:pStyle w:val="Header"/>
        <w:numPr>
          <w:ilvl w:val="0"/>
          <w:numId w:val="34"/>
        </w:numPr>
        <w:tabs>
          <w:tab w:val="clear" w:pos="826"/>
          <w:tab w:val="clear" w:pos="4680"/>
          <w:tab w:val="clear" w:pos="9360"/>
        </w:tabs>
        <w:spacing w:before="60" w:after="60"/>
        <w:ind w:left="720"/>
        <w:rPr>
          <w:rFonts w:cs="Arial"/>
        </w:rPr>
      </w:pPr>
      <w:r>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Pr>
          <w:rFonts w:cs="Arial"/>
        </w:rPr>
        <w:t xml:space="preserve">, including the </w:t>
      </w:r>
      <w:r w:rsidR="0072450B" w:rsidRPr="00957850">
        <w:t>MPUC/ND PSC</w:t>
      </w:r>
      <w:r w:rsidRPr="0018162E">
        <w:rPr>
          <w:rFonts w:cs="Arial"/>
          <w:color w:val="000000" w:themeColor="text1"/>
        </w:rPr>
        <w:t xml:space="preserve">, </w:t>
      </w:r>
      <w:r>
        <w:rPr>
          <w:rFonts w:cs="Arial"/>
        </w:rPr>
        <w:t>the IRS, the FERC, the Department of Justice, the US Fish and Wildlife Service and the FAA.</w:t>
      </w:r>
    </w:p>
    <w:p w14:paraId="2369991F" w14:textId="77777777" w:rsidR="00B63F33" w:rsidRDefault="00B63F33">
      <w:pPr>
        <w:pStyle w:val="Header"/>
        <w:jc w:val="both"/>
        <w:rPr>
          <w:rFonts w:cs="Arial"/>
          <w:b/>
          <w:bCs/>
          <w:u w:val="single"/>
        </w:rPr>
      </w:pPr>
    </w:p>
    <w:p w14:paraId="2524009F" w14:textId="77777777" w:rsidR="00B63F33" w:rsidRDefault="00B63F33">
      <w:pPr>
        <w:pStyle w:val="Header"/>
        <w:spacing w:before="60" w:after="120"/>
        <w:jc w:val="both"/>
        <w:rPr>
          <w:rFonts w:cs="Arial"/>
          <w:b/>
          <w:bCs/>
          <w:u w:val="single"/>
        </w:rPr>
      </w:pPr>
      <w:r>
        <w:rPr>
          <w:rFonts w:cs="Arial"/>
          <w:b/>
          <w:bCs/>
          <w:u w:val="single"/>
        </w:rPr>
        <w:t>Representations and Warranties</w:t>
      </w:r>
    </w:p>
    <w:p w14:paraId="71389CBD" w14:textId="77777777" w:rsidR="00B63F33" w:rsidRDefault="00B63F33">
      <w:pPr>
        <w:tabs>
          <w:tab w:val="left" w:pos="776"/>
        </w:tabs>
        <w:rPr>
          <w:rFonts w:cs="Arial"/>
          <w:b/>
          <w:bCs/>
        </w:rPr>
      </w:pPr>
      <w:r>
        <w:rPr>
          <w:rFonts w:cs="Arial"/>
        </w:rPr>
        <w:t>The transaction is subject to customary representations and warranties to be made by Buyer and Seller as of the execution date or the effective date of the PSA and the closing thereunder, including the following:</w:t>
      </w:r>
    </w:p>
    <w:p w14:paraId="23E1FBB8" w14:textId="77777777" w:rsidR="00B63F33" w:rsidRDefault="00B63F33" w:rsidP="007C5A7E">
      <w:pPr>
        <w:numPr>
          <w:ilvl w:val="0"/>
          <w:numId w:val="37"/>
        </w:numPr>
        <w:autoSpaceDE w:val="0"/>
        <w:autoSpaceDN w:val="0"/>
        <w:adjustRightInd w:val="0"/>
        <w:spacing w:before="60" w:after="60"/>
        <w:ind w:left="720" w:right="160"/>
        <w:rPr>
          <w:rFonts w:cs="Arial"/>
        </w:rPr>
      </w:pPr>
      <w:r>
        <w:rPr>
          <w:rFonts w:cs="Arial"/>
        </w:rPr>
        <w:lastRenderedPageBreak/>
        <w:t xml:space="preserve">Corporate existence and powers – Seller </w:t>
      </w:r>
      <w:proofErr w:type="gramStart"/>
      <w:r>
        <w:rPr>
          <w:rFonts w:cs="Arial"/>
        </w:rPr>
        <w:t>is</w:t>
      </w:r>
      <w:proofErr w:type="gramEnd"/>
      <w:r>
        <w:rPr>
          <w:rFonts w:cs="Arial"/>
        </w:rPr>
        <w:t xml:space="preserve"> a [</w:t>
      </w:r>
      <w:r>
        <w:rPr>
          <w:rFonts w:cs="Arial"/>
          <w:highlight w:val="yellow"/>
        </w:rPr>
        <w:t>corporation</w:t>
      </w:r>
      <w:r>
        <w:rPr>
          <w:rFonts w:cs="Arial"/>
        </w:rPr>
        <w:t>] validly existing and in good standing and has the power and authority to conduct its business as now conducted.</w:t>
      </w:r>
    </w:p>
    <w:p w14:paraId="2F827B77" w14:textId="77777777" w:rsidR="00B63F33" w:rsidRDefault="00B63F33" w:rsidP="007C5A7E">
      <w:pPr>
        <w:keepLines/>
        <w:numPr>
          <w:ilvl w:val="0"/>
          <w:numId w:val="36"/>
        </w:numPr>
        <w:autoSpaceDE w:val="0"/>
        <w:autoSpaceDN w:val="0"/>
        <w:adjustRightInd w:val="0"/>
        <w:spacing w:before="60" w:after="60"/>
        <w:ind w:right="158"/>
        <w:jc w:val="both"/>
        <w:rPr>
          <w:rFonts w:cs="Arial"/>
        </w:rPr>
      </w:pPr>
      <w:r>
        <w:rPr>
          <w:rFonts w:cs="Arial"/>
        </w:rPr>
        <w:t>Project Company existence and powers – the Project Company is a limited liability company validly existing and in good standing and has the power and authority to operate and own the Project and has been engaged in no other business since</w:t>
      </w:r>
      <w:r>
        <w:rPr>
          <w:rStyle w:val="DeltaViewDeletion"/>
          <w:rFonts w:cs="Arial"/>
          <w:strike w:val="0"/>
          <w:color w:val="auto"/>
        </w:rPr>
        <w:t xml:space="preserve"> </w:t>
      </w:r>
      <w:r>
        <w:rPr>
          <w:rStyle w:val="DeltaViewInsertion"/>
          <w:rFonts w:cs="Arial"/>
          <w:color w:val="auto"/>
          <w:u w:val="none"/>
        </w:rPr>
        <w:t>its</w:t>
      </w:r>
      <w:r>
        <w:rPr>
          <w:rFonts w:cs="Arial"/>
        </w:rPr>
        <w:t xml:space="preserve"> formation. </w:t>
      </w:r>
    </w:p>
    <w:p w14:paraId="3BC751DB" w14:textId="77777777" w:rsidR="00B63F33" w:rsidRDefault="00B63F33" w:rsidP="007C5A7E">
      <w:pPr>
        <w:keepLines/>
        <w:numPr>
          <w:ilvl w:val="0"/>
          <w:numId w:val="36"/>
        </w:numPr>
        <w:autoSpaceDE w:val="0"/>
        <w:autoSpaceDN w:val="0"/>
        <w:adjustRightInd w:val="0"/>
        <w:spacing w:before="60" w:after="60"/>
        <w:ind w:right="158"/>
        <w:jc w:val="both"/>
        <w:rPr>
          <w:rFonts w:cs="Arial"/>
        </w:rPr>
      </w:pPr>
      <w:r>
        <w:rPr>
          <w:rFonts w:cs="Arial"/>
        </w:rPr>
        <w:t>(If applicable) The TE Partnership existence and powers – the TE Partnership is a limited liability company validly existing and in good standing and has the power and authority to own and manage the Project Company and the Project and has been engaged in no other business since</w:t>
      </w:r>
      <w:r>
        <w:rPr>
          <w:rStyle w:val="DeltaViewDeletion"/>
          <w:rFonts w:cs="Arial"/>
          <w:strike w:val="0"/>
          <w:color w:val="auto"/>
        </w:rPr>
        <w:t xml:space="preserve"> </w:t>
      </w:r>
      <w:r>
        <w:rPr>
          <w:rStyle w:val="DeltaViewInsertion"/>
          <w:rFonts w:cs="Arial"/>
          <w:color w:val="auto"/>
          <w:u w:val="none"/>
        </w:rPr>
        <w:t>its</w:t>
      </w:r>
      <w:r>
        <w:rPr>
          <w:rFonts w:cs="Arial"/>
        </w:rPr>
        <w:t xml:space="preserve"> formation. </w:t>
      </w:r>
    </w:p>
    <w:p w14:paraId="689C1F4A" w14:textId="77777777" w:rsidR="00B63F33" w:rsidRDefault="00B63F33" w:rsidP="007C5A7E">
      <w:pPr>
        <w:numPr>
          <w:ilvl w:val="0"/>
          <w:numId w:val="36"/>
        </w:numPr>
        <w:autoSpaceDE w:val="0"/>
        <w:autoSpaceDN w:val="0"/>
        <w:adjustRightInd w:val="0"/>
        <w:spacing w:before="60" w:after="60"/>
        <w:ind w:right="160"/>
        <w:rPr>
          <w:rFonts w:cs="Arial"/>
        </w:rPr>
      </w:pPr>
      <w:r>
        <w:rPr>
          <w:rFonts w:cs="Arial"/>
        </w:rPr>
        <w:t>Authority (execution and delivery)</w:t>
      </w:r>
    </w:p>
    <w:p w14:paraId="486946D4" w14:textId="77777777" w:rsidR="00B63F33" w:rsidRDefault="00B63F33" w:rsidP="007C5A7E">
      <w:pPr>
        <w:numPr>
          <w:ilvl w:val="0"/>
          <w:numId w:val="36"/>
        </w:numPr>
        <w:autoSpaceDE w:val="0"/>
        <w:autoSpaceDN w:val="0"/>
        <w:adjustRightInd w:val="0"/>
        <w:spacing w:before="60" w:after="60"/>
        <w:ind w:right="160"/>
        <w:rPr>
          <w:rFonts w:cs="Arial"/>
        </w:rPr>
      </w:pPr>
      <w:r>
        <w:rPr>
          <w:rFonts w:cs="Arial"/>
        </w:rPr>
        <w:t>No conflicts - the transaction does not create any conflicts.</w:t>
      </w:r>
    </w:p>
    <w:p w14:paraId="09CF10E8" w14:textId="77777777" w:rsidR="00B63F33" w:rsidRDefault="00B63F33" w:rsidP="007C5A7E">
      <w:pPr>
        <w:numPr>
          <w:ilvl w:val="0"/>
          <w:numId w:val="36"/>
        </w:numPr>
        <w:autoSpaceDE w:val="0"/>
        <w:autoSpaceDN w:val="0"/>
        <w:adjustRightInd w:val="0"/>
        <w:spacing w:before="60" w:after="60"/>
        <w:ind w:right="160"/>
        <w:rPr>
          <w:rFonts w:cs="Arial"/>
        </w:rPr>
      </w:pPr>
      <w:r>
        <w:rPr>
          <w:rFonts w:cs="Arial"/>
        </w:rPr>
        <w:t>Consents and approvals – no consent, approval or authorization is required in connection with the execution and performance of the PSA.</w:t>
      </w:r>
    </w:p>
    <w:p w14:paraId="67C8383F" w14:textId="77777777" w:rsidR="00B63F33" w:rsidRDefault="00B63F33" w:rsidP="007C5A7E">
      <w:pPr>
        <w:numPr>
          <w:ilvl w:val="0"/>
          <w:numId w:val="36"/>
        </w:numPr>
        <w:autoSpaceDE w:val="0"/>
        <w:autoSpaceDN w:val="0"/>
        <w:adjustRightInd w:val="0"/>
        <w:spacing w:before="60" w:after="60"/>
        <w:ind w:right="160"/>
        <w:rPr>
          <w:rFonts w:cs="Arial"/>
        </w:rPr>
      </w:pPr>
      <w:r>
        <w:rPr>
          <w:rFonts w:cs="Arial"/>
        </w:rPr>
        <w:t>Legal proceedings of Buyer– there are no legal proceedings pending, or to Buyer’s knowledge, threatened in writing, against Buyer, that affect the consummation of the transaction contemplated by the</w:t>
      </w:r>
      <w:r>
        <w:rPr>
          <w:rStyle w:val="DeltaViewInsertion"/>
          <w:rFonts w:cs="Arial"/>
          <w:color w:val="auto"/>
          <w:u w:val="none"/>
        </w:rPr>
        <w:t xml:space="preserve"> PSA</w:t>
      </w:r>
      <w:r>
        <w:rPr>
          <w:rFonts w:cs="Arial"/>
        </w:rPr>
        <w:t>.</w:t>
      </w:r>
    </w:p>
    <w:p w14:paraId="0722A9EC" w14:textId="77777777" w:rsidR="00B63F33" w:rsidRDefault="00B63F33" w:rsidP="007C5A7E">
      <w:pPr>
        <w:keepLines/>
        <w:numPr>
          <w:ilvl w:val="0"/>
          <w:numId w:val="36"/>
        </w:numPr>
        <w:autoSpaceDE w:val="0"/>
        <w:autoSpaceDN w:val="0"/>
        <w:adjustRightInd w:val="0"/>
        <w:spacing w:before="60" w:after="60"/>
        <w:ind w:right="160"/>
        <w:jc w:val="both"/>
        <w:rPr>
          <w:rFonts w:cs="Arial"/>
        </w:rPr>
      </w:pPr>
      <w:r>
        <w:rPr>
          <w:rFonts w:cs="Arial"/>
        </w:rPr>
        <w:t xml:space="preserve">Legal proceedings of Seller, TE Partnership (if applicable) and Project Company – there are no legal proceedings pending, or to Seller’s knowledge, threatened in writing, against the Seller relating to the Project or affecting Seller’s ability to sell the Equity Interests and there are no legal proceedings pending, or </w:t>
      </w:r>
      <w:bookmarkStart w:id="1117" w:name="_DV_C133"/>
      <w:r>
        <w:rPr>
          <w:rFonts w:cs="Arial"/>
        </w:rPr>
        <w:t xml:space="preserve">to Seller’s knowledge, </w:t>
      </w:r>
      <w:r>
        <w:rPr>
          <w:rStyle w:val="DeltaViewInsertion"/>
          <w:rFonts w:cs="Arial"/>
          <w:color w:val="auto"/>
          <w:u w:val="none"/>
        </w:rPr>
        <w:t>threatened</w:t>
      </w:r>
      <w:bookmarkStart w:id="1118" w:name="_DV_M156"/>
      <w:bookmarkEnd w:id="1117"/>
      <w:bookmarkEnd w:id="1118"/>
      <w:r>
        <w:rPr>
          <w:rStyle w:val="DeltaViewInsertion"/>
          <w:rFonts w:cs="Arial"/>
          <w:color w:val="auto"/>
          <w:u w:val="none"/>
        </w:rPr>
        <w:t xml:space="preserve"> in writing,</w:t>
      </w:r>
      <w:r>
        <w:rPr>
          <w:rFonts w:cs="Arial"/>
        </w:rPr>
        <w:t xml:space="preserve"> against the Project Company or the TE Partnership (if applicable).</w:t>
      </w:r>
    </w:p>
    <w:p w14:paraId="57DD7ED3" w14:textId="77777777" w:rsidR="00B63F33" w:rsidRDefault="00B63F33" w:rsidP="007C5A7E">
      <w:pPr>
        <w:numPr>
          <w:ilvl w:val="0"/>
          <w:numId w:val="36"/>
        </w:numPr>
        <w:autoSpaceDE w:val="0"/>
        <w:autoSpaceDN w:val="0"/>
        <w:adjustRightInd w:val="0"/>
        <w:spacing w:before="60" w:after="60"/>
        <w:ind w:right="160"/>
        <w:rPr>
          <w:rFonts w:cs="Arial"/>
        </w:rPr>
      </w:pPr>
      <w:r>
        <w:rPr>
          <w:rFonts w:cs="Arial"/>
        </w:rPr>
        <w:t>Sufficient funds – Buyer has available, or will maintain sufficient sources of, funds to complete the transaction.</w:t>
      </w:r>
      <w:r>
        <w:rPr>
          <w:rFonts w:cs="Arial"/>
          <w:b/>
          <w:bCs/>
        </w:rPr>
        <w:t xml:space="preserve"> </w:t>
      </w:r>
    </w:p>
    <w:p w14:paraId="6757586A" w14:textId="77777777" w:rsidR="00B63F33" w:rsidRDefault="00B63F33" w:rsidP="007C5A7E">
      <w:pPr>
        <w:keepLines/>
        <w:numPr>
          <w:ilvl w:val="0"/>
          <w:numId w:val="36"/>
        </w:numPr>
        <w:autoSpaceDE w:val="0"/>
        <w:autoSpaceDN w:val="0"/>
        <w:adjustRightInd w:val="0"/>
        <w:spacing w:before="60" w:after="60"/>
        <w:ind w:right="160"/>
        <w:jc w:val="both"/>
        <w:rPr>
          <w:rFonts w:cs="Arial"/>
        </w:rPr>
      </w:pPr>
      <w:r>
        <w:rPr>
          <w:rFonts w:cs="Arial"/>
        </w:rPr>
        <w:t xml:space="preserve">Compliance with Laws – Seller, the TE Partnership (if applicable) and </w:t>
      </w:r>
      <w:bookmarkStart w:id="1119" w:name="_DV_C135"/>
      <w:r>
        <w:rPr>
          <w:rStyle w:val="DeltaViewInsertion"/>
          <w:rFonts w:cs="Arial"/>
          <w:color w:val="auto"/>
          <w:u w:val="none"/>
        </w:rPr>
        <w:t>the</w:t>
      </w:r>
      <w:bookmarkEnd w:id="1119"/>
      <w:r>
        <w:rPr>
          <w:rFonts w:cs="Arial"/>
        </w:rPr>
        <w:t xml:space="preserve"> Project Company </w:t>
      </w:r>
      <w:proofErr w:type="gramStart"/>
      <w:r>
        <w:rPr>
          <w:rFonts w:cs="Arial"/>
        </w:rPr>
        <w:t>are in compliance with</w:t>
      </w:r>
      <w:proofErr w:type="gramEnd"/>
      <w:r>
        <w:rPr>
          <w:rFonts w:cs="Arial"/>
        </w:rPr>
        <w:t xml:space="preserve"> all laws applicable to such entity and the transactions contemplated by the PSA.</w:t>
      </w:r>
    </w:p>
    <w:p w14:paraId="1CE7CCB3" w14:textId="77777777" w:rsidR="00B63F33" w:rsidRDefault="00B63F33" w:rsidP="007C5A7E">
      <w:pPr>
        <w:widowControl w:val="0"/>
        <w:numPr>
          <w:ilvl w:val="0"/>
          <w:numId w:val="36"/>
        </w:numPr>
        <w:autoSpaceDE w:val="0"/>
        <w:autoSpaceDN w:val="0"/>
        <w:adjustRightInd w:val="0"/>
        <w:spacing w:line="276" w:lineRule="auto"/>
        <w:jc w:val="both"/>
        <w:rPr>
          <w:rFonts w:cs="Arial"/>
        </w:rPr>
      </w:pPr>
      <w:r>
        <w:rPr>
          <w:rFonts w:cs="Arial"/>
        </w:rPr>
        <w:t>Environmental – Seller, the TE Partnership (if applicable), the Project Company and their respective affiliates have no</w:t>
      </w:r>
      <w:r>
        <w:rPr>
          <w:rStyle w:val="DeltaViewInsertion"/>
          <w:rFonts w:cs="Arial"/>
          <w:color w:val="auto"/>
          <w:u w:val="none"/>
        </w:rPr>
        <w:t xml:space="preserve"> </w:t>
      </w:r>
      <w:r>
        <w:rPr>
          <w:rFonts w:cs="Arial"/>
        </w:rPr>
        <w:t xml:space="preserve">environmental liabilities (solely in the case of Seller relating to the Project) and </w:t>
      </w:r>
      <w:proofErr w:type="gramStart"/>
      <w:r>
        <w:rPr>
          <w:rStyle w:val="DeltaViewInsertion"/>
          <w:rFonts w:cs="Arial"/>
          <w:color w:val="auto"/>
          <w:u w:val="none"/>
        </w:rPr>
        <w:t>are</w:t>
      </w:r>
      <w:r>
        <w:rPr>
          <w:rFonts w:cs="Arial"/>
        </w:rPr>
        <w:t xml:space="preserve"> in compliance with</w:t>
      </w:r>
      <w:proofErr w:type="gramEnd"/>
      <w:r>
        <w:rPr>
          <w:rFonts w:cs="Arial"/>
        </w:rPr>
        <w:t xml:space="preserve"> environmental requirements (solely in the case of Seller relating to the Project). Seller and its affiliates (including the TE Partnership, if applicable, and the Project Company) have not received any</w:t>
      </w:r>
      <w:r>
        <w:rPr>
          <w:rStyle w:val="DeltaViewInsertion"/>
          <w:rFonts w:cs="Arial"/>
        </w:rPr>
        <w:t xml:space="preserve"> </w:t>
      </w:r>
      <w:r>
        <w:rPr>
          <w:rFonts w:cs="Arial"/>
        </w:rPr>
        <w:t>notice of an alleged violation of environmental law pertaining to the Project from any governmental entity. There are no facts, circumstances, conditions or occurrences relating to the Project, the TE Partnership, if applicable, or the Project Company that could reasonably be expected to form the basis of a claim, requirement or obligation imposed by any governmental entity under any environmental law on Seller or its affiliates (including the TE Partnership, if applicable, and the Project Company) or Buyer.</w:t>
      </w:r>
    </w:p>
    <w:p w14:paraId="03A4C1FA" w14:textId="77777777" w:rsidR="00B63F33" w:rsidRDefault="00B63F33" w:rsidP="007C5A7E">
      <w:pPr>
        <w:keepLines/>
        <w:numPr>
          <w:ilvl w:val="0"/>
          <w:numId w:val="36"/>
        </w:numPr>
        <w:autoSpaceDE w:val="0"/>
        <w:autoSpaceDN w:val="0"/>
        <w:adjustRightInd w:val="0"/>
        <w:spacing w:before="60" w:after="60"/>
        <w:ind w:right="160"/>
        <w:jc w:val="both"/>
        <w:rPr>
          <w:rFonts w:cs="Arial"/>
        </w:rPr>
      </w:pPr>
      <w:r>
        <w:rPr>
          <w:rFonts w:cs="Arial"/>
        </w:rPr>
        <w:lastRenderedPageBreak/>
        <w:t>Contracts – Schedule of material contracts binding on the (x) Seller relating to the TE Partnership, if applicable, the Project Company or the Project), (y) TE Partnership, if applicable, the Project Company or the Project, or the assets of any of the TE Partnership, if applicable, or the Project Company, has been provided and Seller has furnished to Buyer true, correct and complete copies of all such contracts.  Each scheduled contract, including but not limited to the Generator Interconnection Agreement, is in full force and effect and neither Seller, the TE Partnership, if applicable, nor the Project Company, nor to the knowledge of Seller any other counterparty thereto, is in material violation or default under such contracts.</w:t>
      </w:r>
    </w:p>
    <w:p w14:paraId="62B24A37" w14:textId="77777777" w:rsidR="00B63F33" w:rsidRDefault="00B63F33" w:rsidP="007C5A7E">
      <w:pPr>
        <w:keepLines/>
        <w:numPr>
          <w:ilvl w:val="0"/>
          <w:numId w:val="36"/>
        </w:numPr>
        <w:autoSpaceDE w:val="0"/>
        <w:autoSpaceDN w:val="0"/>
        <w:adjustRightInd w:val="0"/>
        <w:spacing w:before="60" w:after="60"/>
        <w:ind w:right="160"/>
        <w:jc w:val="both"/>
        <w:rPr>
          <w:rFonts w:cs="Arial"/>
        </w:rPr>
      </w:pPr>
      <w:r>
        <w:rPr>
          <w:rFonts w:cs="Arial"/>
        </w:rPr>
        <w:t>Land Contracts – The land contracts and real property owned by the Project Company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PSA, including legal and physical ingress and egress rights to and from public right-of-way for operation, and maintenance of the Project.</w:t>
      </w:r>
    </w:p>
    <w:p w14:paraId="6CD61B3C" w14:textId="2B34B934" w:rsidR="00B63F33" w:rsidRDefault="00B63F33" w:rsidP="007C5A7E">
      <w:pPr>
        <w:keepLines/>
        <w:numPr>
          <w:ilvl w:val="0"/>
          <w:numId w:val="36"/>
        </w:numPr>
        <w:autoSpaceDE w:val="0"/>
        <w:autoSpaceDN w:val="0"/>
        <w:adjustRightInd w:val="0"/>
        <w:spacing w:before="60" w:after="60"/>
        <w:ind w:right="160"/>
        <w:jc w:val="both"/>
        <w:rPr>
          <w:rFonts w:cs="Arial"/>
        </w:rPr>
      </w:pPr>
      <w:r>
        <w:rPr>
          <w:rFonts w:cs="Arial"/>
        </w:rPr>
        <w:t>Data – Seller has delivered to Buyer true, correct and complete copies of all [</w:t>
      </w:r>
      <w:r>
        <w:rPr>
          <w:rFonts w:cs="Arial"/>
          <w:highlight w:val="yellow"/>
        </w:rPr>
        <w:t>wind/solar</w:t>
      </w:r>
      <w:r>
        <w:rPr>
          <w:rFonts w:cs="Arial"/>
        </w:rPr>
        <w:t>] data related to the Project.</w:t>
      </w:r>
    </w:p>
    <w:p w14:paraId="6CDFC547" w14:textId="77777777" w:rsidR="00B63F33" w:rsidRDefault="00B63F33" w:rsidP="007C5A7E">
      <w:pPr>
        <w:keepLines/>
        <w:numPr>
          <w:ilvl w:val="0"/>
          <w:numId w:val="36"/>
        </w:numPr>
        <w:autoSpaceDE w:val="0"/>
        <w:autoSpaceDN w:val="0"/>
        <w:adjustRightInd w:val="0"/>
        <w:spacing w:before="60" w:after="60"/>
        <w:ind w:right="160"/>
        <w:jc w:val="both"/>
        <w:rPr>
          <w:rFonts w:cs="Arial"/>
        </w:rPr>
      </w:pPr>
      <w:r>
        <w:rPr>
          <w:rStyle w:val="DeltaViewInsertion"/>
          <w:rFonts w:cs="Arial"/>
          <w:color w:val="auto"/>
          <w:u w:val="none"/>
        </w:rPr>
        <w:t>Permits -</w:t>
      </w:r>
      <w:r>
        <w:rPr>
          <w:rFonts w:cs="Arial"/>
        </w:rPr>
        <w:t xml:space="preserve"> All permits </w:t>
      </w:r>
      <w:proofErr w:type="gramStart"/>
      <w:r>
        <w:rPr>
          <w:rFonts w:cs="Arial"/>
        </w:rPr>
        <w:t>required</w:t>
      </w:r>
      <w:proofErr w:type="gramEnd"/>
      <w:r>
        <w:rPr>
          <w:rFonts w:cs="Arial"/>
        </w:rPr>
        <w:t xml:space="preserve"> to own, operate and maintain the Project are held by the Project Company, are scheduled, and Seller has obtained and furnished to Buyer true, correct and complete copies of such permits.  Such permits are non-appealable, in full force and effect and are legal, valid, binding and enforceable </w:t>
      </w:r>
      <w:proofErr w:type="gramStart"/>
      <w:r>
        <w:rPr>
          <w:rFonts w:cs="Arial"/>
        </w:rPr>
        <w:t>in accordance with</w:t>
      </w:r>
      <w:proofErr w:type="gramEnd"/>
      <w:r>
        <w:rPr>
          <w:rFonts w:cs="Arial"/>
        </w:rPr>
        <w:t xml:space="preserve"> their respective terms.</w:t>
      </w:r>
    </w:p>
    <w:p w14:paraId="5FA037FE" w14:textId="20B1C739" w:rsidR="00B63F33" w:rsidRDefault="00B63F33" w:rsidP="007C5A7E">
      <w:pPr>
        <w:keepLines/>
        <w:numPr>
          <w:ilvl w:val="0"/>
          <w:numId w:val="36"/>
        </w:numPr>
        <w:autoSpaceDE w:val="0"/>
        <w:autoSpaceDN w:val="0"/>
        <w:adjustRightInd w:val="0"/>
        <w:spacing w:before="60" w:after="60"/>
        <w:ind w:right="160"/>
        <w:jc w:val="both"/>
        <w:rPr>
          <w:rFonts w:cs="Arial"/>
        </w:rPr>
      </w:pPr>
      <w:r>
        <w:rPr>
          <w:rFonts w:cs="Arial"/>
        </w:rPr>
        <w:t>Title – The Project Company is in possession of and has good and marketable title to the Project free and clear of all encumbrances, except for permitted encumbrances.  Seller has good and marketable title to the Project Company’s equity interests, free and clear of all encumbrances.  Seller and its affiliates have no legal obligation or non-binding agreement in principle with any other person to sell or affect a sale of all, or any portion of, the Project or the Project Company.</w:t>
      </w:r>
    </w:p>
    <w:p w14:paraId="2090E736" w14:textId="77777777" w:rsidR="00B63F33" w:rsidRDefault="00B63F33" w:rsidP="007C5A7E">
      <w:pPr>
        <w:numPr>
          <w:ilvl w:val="0"/>
          <w:numId w:val="36"/>
        </w:numPr>
        <w:autoSpaceDE w:val="0"/>
        <w:autoSpaceDN w:val="0"/>
        <w:adjustRightInd w:val="0"/>
        <w:spacing w:before="60" w:after="60"/>
        <w:ind w:right="160"/>
        <w:jc w:val="both"/>
        <w:rPr>
          <w:rFonts w:cs="Arial"/>
          <w:b/>
          <w:bCs/>
        </w:rPr>
      </w:pPr>
      <w:r>
        <w:rPr>
          <w:rFonts w:cs="Arial"/>
        </w:rPr>
        <w:t xml:space="preserve">Other representation and warranties customary in a transaction of this nature, including those </w:t>
      </w:r>
      <w:proofErr w:type="gramStart"/>
      <w:r>
        <w:rPr>
          <w:rFonts w:cs="Arial"/>
        </w:rPr>
        <w:t>pertaining to</w:t>
      </w:r>
      <w:proofErr w:type="gramEnd"/>
      <w:r>
        <w:rPr>
          <w:rFonts w:cs="Arial"/>
        </w:rPr>
        <w:t xml:space="preserve"> taxes, title, finders, intellectual property, brokers and insurance.</w:t>
      </w:r>
    </w:p>
    <w:p w14:paraId="7202D795" w14:textId="77777777" w:rsidR="00B63F33" w:rsidRDefault="00B63F33">
      <w:pPr>
        <w:pStyle w:val="ListParagraph"/>
        <w:rPr>
          <w:rFonts w:cs="Arial"/>
        </w:rPr>
      </w:pPr>
    </w:p>
    <w:p w14:paraId="72156E94" w14:textId="77777777" w:rsidR="00B63F33" w:rsidRDefault="00B63F33">
      <w:pPr>
        <w:pStyle w:val="ListParagraph"/>
        <w:keepNext/>
        <w:spacing w:after="120"/>
        <w:ind w:left="0"/>
        <w:rPr>
          <w:rFonts w:cs="Arial"/>
          <w:b/>
          <w:bCs/>
          <w:u w:val="single"/>
        </w:rPr>
      </w:pPr>
      <w:r>
        <w:rPr>
          <w:rFonts w:cs="Arial"/>
          <w:b/>
          <w:bCs/>
          <w:u w:val="single"/>
        </w:rPr>
        <w:t>Termination Provisions</w:t>
      </w:r>
    </w:p>
    <w:p w14:paraId="3B4022EB" w14:textId="77777777" w:rsidR="00B63F33" w:rsidRDefault="00B63F33">
      <w:pPr>
        <w:jc w:val="both"/>
        <w:rPr>
          <w:rFonts w:cs="Arial"/>
        </w:rPr>
      </w:pPr>
      <w:r>
        <w:rPr>
          <w:rFonts w:cs="Arial"/>
        </w:rPr>
        <w:t>The PSA may be terminated prior to the closing upon written notice by the terminating party (as described below) in the event of certain occurrences, including:</w:t>
      </w:r>
    </w:p>
    <w:p w14:paraId="268874A7" w14:textId="2F81AB16" w:rsidR="00B63F33" w:rsidRDefault="00B63F33" w:rsidP="007C5A7E">
      <w:pPr>
        <w:numPr>
          <w:ilvl w:val="0"/>
          <w:numId w:val="39"/>
        </w:numPr>
        <w:tabs>
          <w:tab w:val="clear" w:pos="1440"/>
        </w:tabs>
        <w:autoSpaceDE w:val="0"/>
        <w:autoSpaceDN w:val="0"/>
        <w:adjustRightInd w:val="0"/>
        <w:ind w:left="720"/>
        <w:jc w:val="both"/>
        <w:rPr>
          <w:rFonts w:cs="Arial"/>
        </w:rPr>
      </w:pPr>
      <w:r>
        <w:rPr>
          <w:rFonts w:cs="Arial"/>
        </w:rPr>
        <w:t>By either party, in the event the closing has not occurred by a date to be negotiated, regardless of the reason for such termination, provided that the terminating party is not in breach of the PSA.</w:t>
      </w:r>
    </w:p>
    <w:p w14:paraId="5BEFF7FE" w14:textId="77777777" w:rsidR="00B63F33" w:rsidRDefault="00B63F33" w:rsidP="007C5A7E">
      <w:pPr>
        <w:numPr>
          <w:ilvl w:val="0"/>
          <w:numId w:val="39"/>
        </w:numPr>
        <w:tabs>
          <w:tab w:val="clear" w:pos="1440"/>
        </w:tabs>
        <w:autoSpaceDE w:val="0"/>
        <w:autoSpaceDN w:val="0"/>
        <w:adjustRightInd w:val="0"/>
        <w:ind w:left="720"/>
        <w:jc w:val="both"/>
        <w:rPr>
          <w:rFonts w:cs="Arial"/>
        </w:rPr>
      </w:pPr>
      <w:r>
        <w:rPr>
          <w:rFonts w:cs="Arial"/>
        </w:rPr>
        <w:t>By either party in the event regulatory approvals for the transaction are not obtained on terms reasonably acceptable to Buyer.</w:t>
      </w:r>
    </w:p>
    <w:p w14:paraId="2009B680" w14:textId="77777777" w:rsidR="00B63F33" w:rsidRDefault="00B63F33" w:rsidP="007C5A7E">
      <w:pPr>
        <w:numPr>
          <w:ilvl w:val="0"/>
          <w:numId w:val="40"/>
        </w:numPr>
        <w:tabs>
          <w:tab w:val="clear" w:pos="1440"/>
        </w:tabs>
        <w:autoSpaceDE w:val="0"/>
        <w:autoSpaceDN w:val="0"/>
        <w:adjustRightInd w:val="0"/>
        <w:ind w:left="720"/>
        <w:jc w:val="both"/>
        <w:rPr>
          <w:rFonts w:cs="Arial"/>
        </w:rPr>
      </w:pPr>
      <w:r>
        <w:rPr>
          <w:rFonts w:cs="Arial"/>
        </w:rPr>
        <w:t xml:space="preserve">By Buyer in the event any authority has issued an order or taken any other action that restrains, enjoins, or otherwise prohibits the consummation of the transactions contemplated by the PSA, and such order or action is </w:t>
      </w:r>
      <w:proofErr w:type="spellStart"/>
      <w:r>
        <w:rPr>
          <w:rFonts w:cs="Arial"/>
        </w:rPr>
        <w:t>nonappealable</w:t>
      </w:r>
      <w:proofErr w:type="spellEnd"/>
      <w:r>
        <w:rPr>
          <w:rFonts w:cs="Arial"/>
        </w:rPr>
        <w:t>.</w:t>
      </w:r>
    </w:p>
    <w:p w14:paraId="2FAAFD34" w14:textId="77777777" w:rsidR="00B63F33" w:rsidRDefault="00B63F33" w:rsidP="007C5A7E">
      <w:pPr>
        <w:numPr>
          <w:ilvl w:val="0"/>
          <w:numId w:val="38"/>
        </w:numPr>
        <w:tabs>
          <w:tab w:val="clear" w:pos="3240"/>
        </w:tabs>
        <w:autoSpaceDE w:val="0"/>
        <w:autoSpaceDN w:val="0"/>
        <w:adjustRightInd w:val="0"/>
        <w:ind w:left="720"/>
        <w:rPr>
          <w:rFonts w:cs="Arial"/>
        </w:rPr>
      </w:pPr>
      <w:r>
        <w:rPr>
          <w:rFonts w:cs="Arial"/>
        </w:rPr>
        <w:lastRenderedPageBreak/>
        <w:t>By Buyer in the event of material breach of the PSA by Seller.</w:t>
      </w:r>
    </w:p>
    <w:p w14:paraId="4DC09047" w14:textId="77777777" w:rsidR="00B63F33" w:rsidRDefault="00B63F33" w:rsidP="007C5A7E">
      <w:pPr>
        <w:numPr>
          <w:ilvl w:val="0"/>
          <w:numId w:val="38"/>
        </w:numPr>
        <w:tabs>
          <w:tab w:val="clear" w:pos="3240"/>
        </w:tabs>
        <w:autoSpaceDE w:val="0"/>
        <w:autoSpaceDN w:val="0"/>
        <w:adjustRightInd w:val="0"/>
        <w:ind w:left="720"/>
        <w:jc w:val="both"/>
        <w:rPr>
          <w:rFonts w:cs="Arial"/>
        </w:rPr>
      </w:pPr>
      <w:r>
        <w:rPr>
          <w:rFonts w:cs="Arial"/>
        </w:rPr>
        <w:t>Security: Seller shall fund and maintain security in favor of Buyer, or a parent guaranty acceptable to Buyer, to secure Seller’s obligations under the PSA including the indemnification provision below.</w:t>
      </w:r>
    </w:p>
    <w:p w14:paraId="6F6BCC35" w14:textId="77777777" w:rsidR="00B63F33" w:rsidRDefault="00B63F33">
      <w:pPr>
        <w:ind w:left="540"/>
        <w:rPr>
          <w:rFonts w:cs="Arial"/>
        </w:rPr>
      </w:pPr>
    </w:p>
    <w:p w14:paraId="1585F3FC" w14:textId="77777777" w:rsidR="00B63F33" w:rsidRDefault="00B63F33">
      <w:pPr>
        <w:pStyle w:val="ListParagraph"/>
        <w:keepNext/>
        <w:spacing w:after="120"/>
        <w:ind w:left="0"/>
        <w:rPr>
          <w:rFonts w:cs="Arial"/>
          <w:b/>
          <w:bCs/>
          <w:u w:val="single"/>
        </w:rPr>
      </w:pPr>
      <w:r>
        <w:rPr>
          <w:rFonts w:cs="Arial"/>
          <w:b/>
          <w:bCs/>
          <w:u w:val="single"/>
        </w:rPr>
        <w:t>Indemnification</w:t>
      </w:r>
    </w:p>
    <w:p w14:paraId="11CDBBC9" w14:textId="4FA32F38" w:rsidR="00B63F33" w:rsidRDefault="00B63F33">
      <w:pPr>
        <w:jc w:val="both"/>
        <w:rPr>
          <w:b/>
        </w:rPr>
        <w:sectPr w:rsidR="00B63F33" w:rsidSect="00D15BA9">
          <w:headerReference w:type="even" r:id="rId113"/>
          <w:headerReference w:type="default" r:id="rId114"/>
          <w:footerReference w:type="even" r:id="rId115"/>
          <w:footerReference w:type="default" r:id="rId116"/>
          <w:headerReference w:type="first" r:id="rId117"/>
          <w:footerReference w:type="first" r:id="rId118"/>
          <w:type w:val="continuous"/>
          <w:pgSz w:w="12240" w:h="15840" w:code="1"/>
          <w:pgMar w:top="1440" w:right="1440" w:bottom="1440" w:left="1440" w:header="720" w:footer="720" w:gutter="0"/>
          <w:pgNumType w:start="1" w:chapStyle="2"/>
          <w:cols w:space="720"/>
        </w:sectPr>
      </w:pPr>
      <w:r>
        <w:rPr>
          <w:rFonts w:cs="Arial"/>
        </w:rPr>
        <w:t>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PSA, or any liability not assumed as part of the PSA, or any fraud, willful misconduct, or negligence in performance of this PSA.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to be negotiated,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p>
    <w:p w14:paraId="38FDA4F6" w14:textId="7DE31D68" w:rsidR="00B63F33" w:rsidRDefault="00BC3574" w:rsidP="005357FF">
      <w:pPr>
        <w:pStyle w:val="ExhibitTitle"/>
        <w:rPr>
          <w:rFonts w:cs="Arial"/>
        </w:rPr>
      </w:pPr>
      <w:bookmarkStart w:id="1120" w:name="_Toc149813165"/>
      <w:bookmarkStart w:id="1121" w:name="_Ref149813819"/>
      <w:bookmarkStart w:id="1122" w:name="_Ref149813825"/>
      <w:bookmarkStart w:id="1123" w:name="_Ref149813831"/>
      <w:bookmarkStart w:id="1124" w:name="_Ref149813836"/>
      <w:bookmarkStart w:id="1125" w:name="_Ref149813843"/>
      <w:bookmarkStart w:id="1126" w:name="_Ref149813849"/>
      <w:bookmarkStart w:id="1127" w:name="_Ref149813999"/>
      <w:bookmarkStart w:id="1128" w:name="_Ref149814005"/>
      <w:bookmarkStart w:id="1129" w:name="_Toc150954982"/>
      <w:bookmarkEnd w:id="851"/>
      <w:bookmarkEnd w:id="852"/>
      <w:bookmarkEnd w:id="1114"/>
      <w:r>
        <w:lastRenderedPageBreak/>
        <w:t xml:space="preserve">EXHIBIT </w:t>
      </w:r>
      <w:r w:rsidR="00C05EBD">
        <w:t xml:space="preserve">M </w:t>
      </w:r>
      <w:r>
        <w:t xml:space="preserve">- </w:t>
      </w:r>
      <w:r w:rsidR="00B63F33">
        <w:rPr>
          <w:rFonts w:cs="Arial"/>
        </w:rPr>
        <w:t>METHODOLOGY FOR ADJUSTING COMMITTED ENERGY</w:t>
      </w:r>
      <w:bookmarkEnd w:id="1120"/>
      <w:bookmarkEnd w:id="1121"/>
      <w:bookmarkEnd w:id="1122"/>
      <w:bookmarkEnd w:id="1123"/>
      <w:bookmarkEnd w:id="1124"/>
      <w:bookmarkEnd w:id="1125"/>
      <w:bookmarkEnd w:id="1126"/>
      <w:bookmarkEnd w:id="1127"/>
      <w:bookmarkEnd w:id="1128"/>
      <w:bookmarkEnd w:id="1129"/>
    </w:p>
    <w:p w14:paraId="45AA2FB4" w14:textId="77777777" w:rsidR="002B1839" w:rsidRPr="002B1839" w:rsidRDefault="002B1839" w:rsidP="002B1839"/>
    <w:p w14:paraId="75AE517F" w14:textId="24C731A5" w:rsidR="00B63F33" w:rsidRDefault="00B63F33">
      <w:pPr>
        <w:spacing w:after="240"/>
        <w:ind w:firstLine="360"/>
        <w:jc w:val="both"/>
      </w:pPr>
      <w:bookmarkStart w:id="1130" w:name="_Hlk67393309"/>
      <w:r>
        <w:t xml:space="preserve">To determine whether a default by Seller has occurred under </w:t>
      </w:r>
      <w:r w:rsidR="00855699" w:rsidRPr="00855699">
        <w:rPr>
          <w:u w:val="single"/>
        </w:rPr>
        <w:t xml:space="preserve">Section </w:t>
      </w:r>
      <w:r w:rsidR="00855699" w:rsidRPr="00855699">
        <w:rPr>
          <w:u w:val="single"/>
        </w:rPr>
        <w:fldChar w:fldCharType="begin"/>
      </w:r>
      <w:r w:rsidR="00855699" w:rsidRPr="00855699">
        <w:rPr>
          <w:u w:val="single"/>
        </w:rPr>
        <w:instrText xml:space="preserve"> REF _Ref149812233 \r \h </w:instrText>
      </w:r>
      <w:r w:rsidR="00855699" w:rsidRPr="00855699">
        <w:rPr>
          <w:u w:val="single"/>
        </w:rPr>
      </w:r>
      <w:r w:rsidR="00855699" w:rsidRPr="00855699">
        <w:rPr>
          <w:u w:val="single"/>
        </w:rPr>
        <w:fldChar w:fldCharType="separate"/>
      </w:r>
      <w:r w:rsidR="00855699" w:rsidRPr="00855699">
        <w:rPr>
          <w:u w:val="single"/>
        </w:rPr>
        <w:t>12.1(A)</w:t>
      </w:r>
      <w:r w:rsidR="00855699" w:rsidRPr="00855699">
        <w:rPr>
          <w:u w:val="single"/>
        </w:rPr>
        <w:fldChar w:fldCharType="end"/>
      </w:r>
      <w:r>
        <w:t xml:space="preserve"> or an Energy Payment Reduction should be imposed under </w:t>
      </w:r>
      <w:r>
        <w:rPr>
          <w:u w:val="single"/>
        </w:rPr>
        <w:t xml:space="preserve">Section </w:t>
      </w:r>
      <w:r w:rsidR="009720F4">
        <w:rPr>
          <w:u w:val="single"/>
        </w:rPr>
        <w:fldChar w:fldCharType="begin"/>
      </w:r>
      <w:r w:rsidR="009720F4">
        <w:rPr>
          <w:u w:val="single"/>
        </w:rPr>
        <w:instrText xml:space="preserve"> REF _Ref149743251 \w \h </w:instrText>
      </w:r>
      <w:r w:rsidR="009720F4">
        <w:rPr>
          <w:u w:val="single"/>
        </w:rPr>
      </w:r>
      <w:r w:rsidR="009720F4">
        <w:rPr>
          <w:u w:val="single"/>
        </w:rPr>
        <w:fldChar w:fldCharType="separate"/>
      </w:r>
      <w:r w:rsidR="009720F4">
        <w:rPr>
          <w:u w:val="single"/>
        </w:rPr>
        <w:t>8.4</w:t>
      </w:r>
      <w:r w:rsidR="009720F4">
        <w:rPr>
          <w:u w:val="single"/>
        </w:rPr>
        <w:fldChar w:fldCharType="end"/>
      </w:r>
      <w:r>
        <w:t>, Committed Energy shall be adjusted as follows:</w:t>
      </w:r>
    </w:p>
    <w:p w14:paraId="3B797710" w14:textId="44150ACB" w:rsidR="00B63F33" w:rsidRDefault="00B63F33">
      <w:pPr>
        <w:spacing w:after="120"/>
        <w:ind w:firstLine="720"/>
        <w:jc w:val="both"/>
      </w:pPr>
      <w:r>
        <w:t xml:space="preserve">A.   Periods when the Facility is incapacitated in whole or in part due to Force Majeure shall be excluded from the calculation of Committed Energy.   </w:t>
      </w:r>
      <w:bookmarkStart w:id="1131" w:name="_Hlk67472851"/>
      <w:r>
        <w:t xml:space="preserve">Seller Excuse Hours shall also be excluded from the calculation of Committed Energy. </w:t>
      </w:r>
      <w:r>
        <w:rPr>
          <w:rFonts w:cs="Arial"/>
        </w:rPr>
        <w:t xml:space="preserve">The Committed Energy required from Seller for such Commercial Operation Year shall be reduced by the quantity of MWhs that Seller can demonstrate, to Company’s reasonable satisfaction, were specifically attributable to such Force Majeure or Seller Excuse Hours.  Such quantity shall be calculated using Commercially Reasonable methods using measurable inputs at an hourly minimum granularity. </w:t>
      </w:r>
      <w:bookmarkEnd w:id="1131"/>
      <w:r>
        <w:rPr>
          <w:rFonts w:cs="Arial"/>
        </w:rPr>
        <w:t xml:space="preserve">For the avoidance of doubt, for any periods when metering or measuring equipment at the Site affecting such inputs is inoperable or mis-calibrated, for purposes of determining a default by Seller under </w:t>
      </w:r>
      <w:r>
        <w:rPr>
          <w:rFonts w:cs="Arial"/>
          <w:u w:val="single"/>
        </w:rPr>
        <w:t xml:space="preserve">Section </w:t>
      </w:r>
      <w:r w:rsidR="009720F4">
        <w:rPr>
          <w:rFonts w:cs="Arial"/>
          <w:u w:val="single"/>
        </w:rPr>
        <w:fldChar w:fldCharType="begin"/>
      </w:r>
      <w:r w:rsidR="009720F4">
        <w:rPr>
          <w:rFonts w:cs="Arial"/>
          <w:u w:val="single"/>
        </w:rPr>
        <w:instrText xml:space="preserve"> REF _Ref149812233 \w \h </w:instrText>
      </w:r>
      <w:r w:rsidR="009720F4">
        <w:rPr>
          <w:rFonts w:cs="Arial"/>
          <w:u w:val="single"/>
        </w:rPr>
      </w:r>
      <w:r w:rsidR="009720F4">
        <w:rPr>
          <w:rFonts w:cs="Arial"/>
          <w:u w:val="single"/>
        </w:rPr>
        <w:fldChar w:fldCharType="separate"/>
      </w:r>
      <w:r w:rsidR="009720F4">
        <w:rPr>
          <w:rFonts w:cs="Arial"/>
          <w:u w:val="single"/>
        </w:rPr>
        <w:t>12.1(A)</w:t>
      </w:r>
      <w:r w:rsidR="009720F4">
        <w:rPr>
          <w:rFonts w:cs="Arial"/>
          <w:u w:val="single"/>
        </w:rPr>
        <w:fldChar w:fldCharType="end"/>
      </w:r>
      <w:r>
        <w:rPr>
          <w:rFonts w:cs="Arial"/>
        </w:rPr>
        <w:t>, Parties shall exclude such data from the calculation unless agreed to otherwise by the Company.</w:t>
      </w:r>
    </w:p>
    <w:p w14:paraId="3DD97974" w14:textId="182236B9" w:rsidR="00B63F33" w:rsidRDefault="00B63F33">
      <w:pPr>
        <w:spacing w:after="120"/>
        <w:ind w:firstLine="720"/>
        <w:jc w:val="both"/>
      </w:pPr>
      <w:r>
        <w:t>B.</w:t>
      </w:r>
      <w:r>
        <w:tab/>
        <w:t>T</w:t>
      </w:r>
      <w:bookmarkStart w:id="1132" w:name="_Hlk67472873"/>
      <w:r>
        <w:rPr>
          <w:rFonts w:cs="Arial"/>
        </w:rPr>
        <w:t xml:space="preserve">he Committed Energy required from Seller for such Commercial Operation Year shall be reduced by the quantity of MWhs that Seller can demonstrate to Company’s reasonable satisfaction were curtailed </w:t>
      </w:r>
      <w:bookmarkEnd w:id="1132"/>
      <w:r>
        <w:rPr>
          <w:rFonts w:cs="Arial"/>
        </w:rPr>
        <w:t xml:space="preserve">pursuant to </w:t>
      </w:r>
      <w:r>
        <w:rPr>
          <w:u w:val="single"/>
        </w:rPr>
        <w:t xml:space="preserve">Sections </w:t>
      </w:r>
      <w:r w:rsidR="009720F4">
        <w:rPr>
          <w:u w:val="single"/>
        </w:rPr>
        <w:fldChar w:fldCharType="begin"/>
      </w:r>
      <w:r w:rsidR="009720F4">
        <w:rPr>
          <w:u w:val="single"/>
        </w:rPr>
        <w:instrText xml:space="preserve"> REF _Ref149809795 \w \h </w:instrText>
      </w:r>
      <w:r w:rsidR="009720F4">
        <w:rPr>
          <w:u w:val="single"/>
        </w:rPr>
      </w:r>
      <w:r w:rsidR="009720F4">
        <w:rPr>
          <w:u w:val="single"/>
        </w:rPr>
        <w:fldChar w:fldCharType="separate"/>
      </w:r>
      <w:r w:rsidR="009720F4">
        <w:rPr>
          <w:u w:val="single"/>
        </w:rPr>
        <w:t>8.3(A)</w:t>
      </w:r>
      <w:r w:rsidR="009720F4">
        <w:rPr>
          <w:u w:val="single"/>
        </w:rPr>
        <w:fldChar w:fldCharType="end"/>
      </w:r>
      <w:r>
        <w:rPr>
          <w:u w:val="single"/>
        </w:rPr>
        <w:t xml:space="preserve"> 1. through </w:t>
      </w:r>
      <w:bookmarkStart w:id="1133" w:name="_cp_change_306"/>
      <w:r w:rsidR="00023CC9">
        <w:rPr>
          <w:u w:val="single"/>
        </w:rPr>
        <w:t>4</w:t>
      </w:r>
      <w:bookmarkEnd w:id="1133"/>
      <w:r w:rsidR="00E34303">
        <w:rPr>
          <w:rFonts w:cs="Arial"/>
          <w:color w:val="0000FF"/>
          <w:u w:val="double" w:color="0000FF"/>
        </w:rPr>
        <w:t>.</w:t>
      </w:r>
    </w:p>
    <w:p w14:paraId="2CA5A016" w14:textId="7151C1C3" w:rsidR="00994353" w:rsidRDefault="00994353">
      <w:pPr>
        <w:spacing w:after="240"/>
        <w:ind w:firstLine="720"/>
        <w:jc w:val="both"/>
        <w:rPr>
          <w:strike/>
        </w:rPr>
        <w:sectPr w:rsidR="00994353">
          <w:headerReference w:type="even" r:id="rId119"/>
          <w:headerReference w:type="default" r:id="rId120"/>
          <w:footerReference w:type="even" r:id="rId121"/>
          <w:footerReference w:type="default" r:id="rId122"/>
          <w:headerReference w:type="first" r:id="rId123"/>
          <w:footerReference w:type="first" r:id="rId124"/>
          <w:pgSz w:w="12240" w:h="15840" w:code="1"/>
          <w:pgMar w:top="1440" w:right="1440" w:bottom="1440" w:left="1440" w:header="720" w:footer="720" w:gutter="0"/>
          <w:pgNumType w:start="1"/>
          <w:cols w:space="720"/>
        </w:sectPr>
      </w:pPr>
    </w:p>
    <w:p w14:paraId="2A1F159F" w14:textId="13D9F129" w:rsidR="00B63F33" w:rsidRDefault="00BC3574" w:rsidP="005357FF">
      <w:pPr>
        <w:pStyle w:val="ExhibitTitle"/>
      </w:pPr>
      <w:bookmarkStart w:id="1134" w:name="_Toc149813166"/>
      <w:bookmarkStart w:id="1135" w:name="_Ref149813701"/>
      <w:bookmarkStart w:id="1136" w:name="_Ref149813707"/>
      <w:bookmarkStart w:id="1137" w:name="_Ref149813743"/>
      <w:bookmarkStart w:id="1138" w:name="_Ref149813870"/>
      <w:bookmarkStart w:id="1139" w:name="_Ref149813886"/>
      <w:bookmarkStart w:id="1140" w:name="_Ref149813891"/>
      <w:bookmarkStart w:id="1141" w:name="_Toc150954983"/>
      <w:bookmarkEnd w:id="1130"/>
      <w:r>
        <w:lastRenderedPageBreak/>
        <w:t xml:space="preserve">EXHIBIT </w:t>
      </w:r>
      <w:r w:rsidR="00C05EBD">
        <w:t xml:space="preserve">N </w:t>
      </w:r>
      <w:r>
        <w:t xml:space="preserve">- </w:t>
      </w:r>
      <w:r w:rsidR="00CF3886">
        <w:t>SAFETY REQUIREMENTS</w:t>
      </w:r>
      <w:bookmarkEnd w:id="1134"/>
      <w:bookmarkEnd w:id="1135"/>
      <w:bookmarkEnd w:id="1136"/>
      <w:bookmarkEnd w:id="1137"/>
      <w:bookmarkEnd w:id="1138"/>
      <w:bookmarkEnd w:id="1139"/>
      <w:bookmarkEnd w:id="1140"/>
      <w:bookmarkEnd w:id="1141"/>
    </w:p>
    <w:p w14:paraId="250CDD5B" w14:textId="77777777" w:rsidR="00EE343D" w:rsidRPr="00A12863" w:rsidRDefault="00EE343D" w:rsidP="00A12863"/>
    <w:p w14:paraId="64EF42CA" w14:textId="59243097" w:rsidR="00C17FF1" w:rsidRDefault="00D72F5D" w:rsidP="00EE343D">
      <w:pPr>
        <w:spacing w:after="240"/>
      </w:pPr>
      <w:r>
        <w:t>Seller shall design and construct the Facility in compliance with all Applicable Laws and shall ensure the Facility is operated in compliance with Good Utility Practice.  Seller shall identify codes and standards that are applicable to the design of the Facility and ensure that upon substantial completion the Facility meets applicable codes and standards.  [</w:t>
      </w:r>
      <w:r>
        <w:rPr>
          <w:highlight w:val="yellow"/>
        </w:rPr>
        <w:t>Technology specific codes and standards</w:t>
      </w:r>
      <w:r>
        <w:t xml:space="preserve">.]  Seller shall design, construct, and install the Facility under the guidance of </w:t>
      </w:r>
      <w:r>
        <w:rPr>
          <w:highlight w:val="yellow"/>
        </w:rPr>
        <w:t>[insert code</w:t>
      </w:r>
      <w:r>
        <w:t>] and shall comply with all applicable portions of that standard. Seller is solely responsible for maintaining the Facility in compliance with all Applicable Laws. Seller will provide Company with an independent registered professional engineer’s certification stating that the Facility has been completed in all material respects (including compliance with all Applicable Laws) prior to COD.</w:t>
      </w:r>
    </w:p>
    <w:p w14:paraId="09E5D461" w14:textId="16A5059A" w:rsidR="00A82B27" w:rsidRDefault="00A82B27" w:rsidP="00A82B27">
      <w:pPr>
        <w:spacing w:after="240"/>
      </w:pPr>
      <w:r>
        <w:t xml:space="preserve">Prior to COD, Seller will provide documentation submitted as part of the </w:t>
      </w:r>
      <w:r>
        <w:rPr>
          <w:highlight w:val="yellow"/>
        </w:rPr>
        <w:t>[Applicable County]</w:t>
      </w:r>
      <w:r>
        <w:t xml:space="preserve"> permitting process and, if not otherwise submitted as part of such permitting process, the following additional documents:</w:t>
      </w:r>
    </w:p>
    <w:p w14:paraId="5111528C" w14:textId="77777777" w:rsidR="00A82B27" w:rsidRDefault="00A82B27" w:rsidP="007C5A7E">
      <w:pPr>
        <w:numPr>
          <w:ilvl w:val="0"/>
          <w:numId w:val="43"/>
        </w:numPr>
        <w:tabs>
          <w:tab w:val="num" w:pos="360"/>
        </w:tabs>
        <w:spacing w:after="120"/>
        <w:jc w:val="both"/>
      </w:pPr>
      <w:r>
        <w:t xml:space="preserve">Operations and maintenance documentation, including an operations manual and maintenance manual, and schedule for planned </w:t>
      </w:r>
      <w:proofErr w:type="gramStart"/>
      <w:r>
        <w:t>maintenance;</w:t>
      </w:r>
      <w:proofErr w:type="gramEnd"/>
      <w:r>
        <w:t xml:space="preserve">  </w:t>
      </w:r>
    </w:p>
    <w:p w14:paraId="20989F60" w14:textId="6B5880B9" w:rsidR="00A82B27" w:rsidRDefault="00A82B27" w:rsidP="007C5A7E">
      <w:pPr>
        <w:numPr>
          <w:ilvl w:val="0"/>
          <w:numId w:val="43"/>
        </w:numPr>
        <w:tabs>
          <w:tab w:val="num" w:pos="360"/>
        </w:tabs>
        <w:spacing w:after="120"/>
        <w:jc w:val="both"/>
      </w:pPr>
      <w:r>
        <w:t xml:space="preserve">Safety procedures for personnel (may be included within the operations or maintenance manual), and supplier safety </w:t>
      </w:r>
      <w:proofErr w:type="gramStart"/>
      <w:r>
        <w:t>manual;</w:t>
      </w:r>
      <w:proofErr w:type="gramEnd"/>
      <w:r>
        <w:t xml:space="preserve"> </w:t>
      </w:r>
    </w:p>
    <w:p w14:paraId="1355CD01" w14:textId="1BCE2144" w:rsidR="0022428B" w:rsidRDefault="00A82B27" w:rsidP="00A12863">
      <w:pPr>
        <w:spacing w:after="120"/>
        <w:ind w:left="720"/>
        <w:jc w:val="both"/>
      </w:pPr>
      <w:r>
        <w:t xml:space="preserve">Training materials for local first responders, identifying known hazards and failure modes, and methods for approach and action, if </w:t>
      </w:r>
      <w:proofErr w:type="gramStart"/>
      <w:r>
        <w:t>appropriate;</w:t>
      </w:r>
      <w:proofErr w:type="gramEnd"/>
    </w:p>
    <w:p w14:paraId="56554F87" w14:textId="6270901E" w:rsidR="001644E3" w:rsidRDefault="00A82B27" w:rsidP="007C5A7E">
      <w:pPr>
        <w:numPr>
          <w:ilvl w:val="0"/>
          <w:numId w:val="43"/>
        </w:numPr>
        <w:tabs>
          <w:tab w:val="num" w:pos="360"/>
        </w:tabs>
        <w:spacing w:after="120"/>
        <w:jc w:val="both"/>
      </w:pPr>
      <w:r>
        <w:t xml:space="preserve">Emergency management plan, including instructions on how to interpret alarms and faults, location of emergency stops, egress pathways, known hazards, and emergency contact information for a subject matter expert who can be available on site within 2 hours; and </w:t>
      </w:r>
    </w:p>
    <w:p w14:paraId="1E1847D4" w14:textId="77777777" w:rsidR="00994353" w:rsidRDefault="00A82B27" w:rsidP="00994353">
      <w:r>
        <w:t>System drawings and documentation, including all physical, electrical, mechanical, and communications diagrams for all Facility sub-components, to allow for confirmation of claimed safety features including but not limited to, respectively, sufficient spacing, security, and signage; appropriate electrical ratings, grounding, and interconnections; foundations and construction materials; awareness of system operation and alarms; and fault ranges and emergency stops, but excluding any vendor proprietary drawings.  As applicable, certifications for all claimed standards compliance should be provided.</w:t>
      </w:r>
    </w:p>
    <w:p w14:paraId="34AAD7CA" w14:textId="77777777" w:rsidR="00994353" w:rsidRDefault="00994353" w:rsidP="00994353"/>
    <w:p w14:paraId="4DC16CDE" w14:textId="3C80CFA6" w:rsidR="00994353" w:rsidRDefault="00994353" w:rsidP="00994353">
      <w:pPr>
        <w:sectPr w:rsidR="00994353">
          <w:headerReference w:type="even" r:id="rId125"/>
          <w:headerReference w:type="default" r:id="rId126"/>
          <w:footerReference w:type="even" r:id="rId127"/>
          <w:footerReference w:type="default" r:id="rId128"/>
          <w:headerReference w:type="first" r:id="rId129"/>
          <w:footerReference w:type="first" r:id="rId130"/>
          <w:pgSz w:w="12240" w:h="15840" w:code="1"/>
          <w:pgMar w:top="1440" w:right="1440" w:bottom="1440" w:left="1440" w:header="720" w:footer="720" w:gutter="0"/>
          <w:pgNumType w:start="1"/>
          <w:cols w:space="720"/>
        </w:sectPr>
      </w:pPr>
    </w:p>
    <w:p w14:paraId="052EB016" w14:textId="5B939CB8" w:rsidR="00B63F33" w:rsidRDefault="00BC3574" w:rsidP="005357FF">
      <w:pPr>
        <w:pStyle w:val="ExhibitTitle"/>
      </w:pPr>
      <w:bookmarkStart w:id="1142" w:name="_Toc149813167"/>
      <w:bookmarkStart w:id="1143" w:name="_Ref149813730"/>
      <w:bookmarkStart w:id="1144" w:name="_Ref149813767"/>
      <w:bookmarkStart w:id="1145" w:name="_Toc150954984"/>
      <w:r>
        <w:lastRenderedPageBreak/>
        <w:t xml:space="preserve">EXHIBIT </w:t>
      </w:r>
      <w:r w:rsidR="00C05EBD">
        <w:t>O</w:t>
      </w:r>
      <w:r>
        <w:t xml:space="preserve"> - </w:t>
      </w:r>
      <w:r w:rsidR="00B63F33">
        <w:t>METER AND COMMUNICATIONS REQUIREMENTS</w:t>
      </w:r>
      <w:bookmarkEnd w:id="1142"/>
      <w:bookmarkEnd w:id="1143"/>
      <w:bookmarkEnd w:id="1144"/>
      <w:bookmarkEnd w:id="1145"/>
    </w:p>
    <w:p w14:paraId="2A8E72B0" w14:textId="77777777" w:rsidR="00B63F33" w:rsidRDefault="00B63F33">
      <w:pPr>
        <w:spacing w:after="240"/>
      </w:pPr>
      <w:r>
        <w:t>These meter requirements shall apply to all Electric Metering Devices.</w:t>
      </w:r>
    </w:p>
    <w:p w14:paraId="35D298B0" w14:textId="15B455D5" w:rsidR="00B63F33" w:rsidRDefault="00B63F33" w:rsidP="007C5A7E">
      <w:pPr>
        <w:numPr>
          <w:ilvl w:val="0"/>
          <w:numId w:val="42"/>
        </w:numPr>
        <w:spacing w:after="240"/>
      </w:pPr>
      <w:r>
        <w:t xml:space="preserve">Electric Metering Devices shall meet requirements set forth in American National Standards Institute (ANSI) C12.1 and 12.20.  Current transformers and voltage transformers supplying this meter should meet requirements of IEEE/ANSI C57.13 and ANSI C57.13.6. In addition to meeting these requirements the current transformers should be high accuracy extended range transformers with at least 0.15% accuracy from 1% to full rating factor, and high voltage transformers should be at least 0.3% accuracy from 90% to 110% of rated voltage. Prior to the purchase of Electric Metering Devices, current transformers and potential transformers and associated communication equipment, Seller must submit relevant information such that </w:t>
      </w:r>
      <w:proofErr w:type="gramStart"/>
      <w:r>
        <w:t>Company</w:t>
      </w:r>
      <w:proofErr w:type="gramEnd"/>
      <w:r>
        <w:t xml:space="preserve"> can review and verify that the equipment meets Company requirements. For Company-owned meters, potential transformers will utilize nominal secondary voltages of 115 volts or 120 volts. Backup meters may utilize current transformers with a lower accuracy class than 0.15% upon mutual agreement of the Parties.</w:t>
      </w:r>
    </w:p>
    <w:p w14:paraId="6B386E1A" w14:textId="60B303D4" w:rsidR="00B63F33" w:rsidRDefault="00B63F33" w:rsidP="007C5A7E">
      <w:pPr>
        <w:numPr>
          <w:ilvl w:val="0"/>
          <w:numId w:val="42"/>
        </w:numPr>
        <w:spacing w:after="240"/>
      </w:pPr>
      <w:r>
        <w:t xml:space="preserve">No later than ninety (90) Days prior to generating any Test Energy, Seller shall provide to Company in mutually agreeable format all necessary specifications related to the Electric Metering Devices and/or communication therewith including, but not limited to, the make, model, port configuration, connection assignments, electronic security definition, firewall definitions, and physical locations.   </w:t>
      </w:r>
    </w:p>
    <w:p w14:paraId="6EE4D74D" w14:textId="77777777" w:rsidR="00B63F33" w:rsidRDefault="00B63F33" w:rsidP="007C5A7E">
      <w:pPr>
        <w:numPr>
          <w:ilvl w:val="0"/>
          <w:numId w:val="42"/>
        </w:numPr>
        <w:spacing w:after="240"/>
      </w:pPr>
      <w:r>
        <w:t xml:space="preserve">Company may inspect and verify that the equipment was approved and properly installed.  In addition, Company may elect to test the Electric Metering devices for accuracy, current transformers and potential transformers and verify that the communication circuits to Company Xcel are operational.  </w:t>
      </w:r>
    </w:p>
    <w:p w14:paraId="5C24888D" w14:textId="6A1DD72C" w:rsidR="00B63F33" w:rsidRDefault="00B63F33" w:rsidP="007C5A7E">
      <w:pPr>
        <w:numPr>
          <w:ilvl w:val="0"/>
          <w:numId w:val="42"/>
        </w:numPr>
        <w:spacing w:after="240"/>
      </w:pPr>
      <w:r>
        <w:t xml:space="preserve">Upon prior written notice, sufficiently in advance, Company shall have the right to make requests </w:t>
      </w:r>
      <w:proofErr w:type="gramStart"/>
      <w:r>
        <w:t>in regard to</w:t>
      </w:r>
      <w:proofErr w:type="gramEnd"/>
      <w:r>
        <w:t xml:space="preserve"> reasonable modifications to Seller’s metering equipment and configurations in order to ensure accurate telemetering and communication.  </w:t>
      </w:r>
    </w:p>
    <w:p w14:paraId="00977280" w14:textId="77777777" w:rsidR="00B63F33" w:rsidRDefault="00B63F33" w:rsidP="007C5A7E">
      <w:pPr>
        <w:pStyle w:val="Default"/>
        <w:numPr>
          <w:ilvl w:val="0"/>
          <w:numId w:val="42"/>
        </w:numPr>
        <w:jc w:val="both"/>
        <w:rPr>
          <w:color w:val="auto"/>
        </w:rPr>
      </w:pPr>
      <w:r>
        <w:rPr>
          <w:color w:val="auto"/>
        </w:rPr>
        <w:t xml:space="preserve">Company shall have the right to install any telemetering and communication equipment Company deems reasonably necessary for purposes related to this PPA. Seller shall, upon prior written notice sufficiently in advance, cooperate with any such installation. </w:t>
      </w:r>
    </w:p>
    <w:p w14:paraId="4D1053D8" w14:textId="77777777" w:rsidR="00B63F33" w:rsidRDefault="00B63F33">
      <w:pPr>
        <w:pStyle w:val="Default"/>
        <w:ind w:left="720"/>
        <w:jc w:val="both"/>
        <w:rPr>
          <w:color w:val="auto"/>
        </w:rPr>
      </w:pPr>
    </w:p>
    <w:p w14:paraId="066D59EB" w14:textId="77777777" w:rsidR="00B63F33" w:rsidRDefault="00B63F33" w:rsidP="007C5A7E">
      <w:pPr>
        <w:numPr>
          <w:ilvl w:val="0"/>
          <w:numId w:val="42"/>
        </w:numPr>
        <w:spacing w:after="240"/>
      </w:pPr>
      <w:r>
        <w:t>Electric Metering Devices shall be programmed to, at any time of remote electronic communications and access, provide a time and date stamp of downloaded delivery information.</w:t>
      </w:r>
    </w:p>
    <w:p w14:paraId="2C1F4026" w14:textId="77777777" w:rsidR="00B63F33" w:rsidRDefault="00B63F33" w:rsidP="007C5A7E">
      <w:pPr>
        <w:numPr>
          <w:ilvl w:val="0"/>
          <w:numId w:val="42"/>
        </w:numPr>
        <w:spacing w:after="240"/>
      </w:pPr>
      <w:r>
        <w:t xml:space="preserve">Electric Metering Devices shall be programmed to, at any time of manual read of the meter’s display, provide the time and date of the information gathered.  The Seller shall provide the communication channels for the Company’s remote </w:t>
      </w:r>
      <w:r>
        <w:lastRenderedPageBreak/>
        <w:t xml:space="preserve">terminal unit and the Company’s </w:t>
      </w:r>
      <w:proofErr w:type="spellStart"/>
      <w:r>
        <w:t>Itron</w:t>
      </w:r>
      <w:proofErr w:type="spellEnd"/>
      <w:r>
        <w:t xml:space="preserve"> Enterprise Edition Meter Data Management Agent.  The implementation of these communication paths and RTU shall follow Company’s latest standard.  The Seller must have these communication paths installed, tested, and functional prior to generating Test Energy.  </w:t>
      </w:r>
    </w:p>
    <w:p w14:paraId="45ECB8FD" w14:textId="77777777" w:rsidR="00B63F33" w:rsidRDefault="00B63F33" w:rsidP="001452A0">
      <w:pPr>
        <w:pStyle w:val="Default"/>
        <w:numPr>
          <w:ilvl w:val="0"/>
          <w:numId w:val="42"/>
        </w:numPr>
        <w:rPr>
          <w:color w:val="auto"/>
        </w:rPr>
      </w:pPr>
      <w:r>
        <w:rPr>
          <w:color w:val="auto"/>
        </w:rPr>
        <w:t xml:space="preserve">Company shall have the right, via read-only access, and upon prior reasonable written notice to Seller, to independently audit Seller’s meters and any records pertaining to the amount of energy generated by the Facility and any associated losses. Any audit shall be performed at the Facility or if applicable, other location within the same state as the Facility which is mutually agreed upon by both Company and Seller.   Records related to such audits, inspections, testing or adjustments shall be maintained and subject to audit by Company for a period of 24 months. Company shall further have the right to request and receive in physical or electronic form </w:t>
      </w:r>
      <w:proofErr w:type="gramStart"/>
      <w:r>
        <w:rPr>
          <w:color w:val="auto"/>
        </w:rPr>
        <w:t>any and all</w:t>
      </w:r>
      <w:proofErr w:type="gramEnd"/>
      <w:r>
        <w:rPr>
          <w:color w:val="auto"/>
        </w:rPr>
        <w:t xml:space="preserve"> records or data files related to such audits, inspections, testing or adjustments. </w:t>
      </w:r>
    </w:p>
    <w:p w14:paraId="25818AD1" w14:textId="77777777" w:rsidR="00B63F33" w:rsidRDefault="00B63F33">
      <w:pPr>
        <w:pStyle w:val="Default"/>
        <w:ind w:left="720"/>
        <w:jc w:val="both"/>
        <w:rPr>
          <w:color w:val="auto"/>
        </w:rPr>
      </w:pPr>
    </w:p>
    <w:p w14:paraId="75B743A6" w14:textId="77777777" w:rsidR="00B63F33" w:rsidRDefault="00B63F33" w:rsidP="007C5A7E">
      <w:pPr>
        <w:numPr>
          <w:ilvl w:val="0"/>
          <w:numId w:val="42"/>
        </w:numPr>
        <w:spacing w:after="240"/>
      </w:pPr>
      <w:r>
        <w:t>Seller shall provide secure and reliable communication from the Electric Metering Devices as follows:</w:t>
      </w:r>
    </w:p>
    <w:p w14:paraId="12AB1B56" w14:textId="15D4A8C6" w:rsidR="00B63F33" w:rsidRDefault="00967771" w:rsidP="007C5A7E">
      <w:pPr>
        <w:numPr>
          <w:ilvl w:val="1"/>
          <w:numId w:val="42"/>
        </w:numPr>
        <w:spacing w:after="240"/>
      </w:pPr>
      <w:r>
        <w:t>Distributed Network Protocol (“DNP”) output from the meter to Company’s EMCC via a remote terminal unit located near the Electric Metering Devices and hardwired from the meter to the remote terminal unit.</w:t>
      </w:r>
    </w:p>
    <w:p w14:paraId="4944789A" w14:textId="50D02076" w:rsidR="00B63F33" w:rsidRDefault="00B63F33" w:rsidP="007C5A7E">
      <w:pPr>
        <w:numPr>
          <w:ilvl w:val="1"/>
          <w:numId w:val="42"/>
        </w:numPr>
        <w:spacing w:after="240"/>
      </w:pPr>
      <w:r>
        <w:t xml:space="preserve">Time stamped meter register and interval data from the meter to Company’s </w:t>
      </w:r>
      <w:proofErr w:type="spellStart"/>
      <w:r>
        <w:t>Itron</w:t>
      </w:r>
      <w:proofErr w:type="spellEnd"/>
      <w:r>
        <w:t xml:space="preserve"> Enterprise Edition Meter Data Management Agent with servers located in</w:t>
      </w:r>
      <w:r w:rsidR="00685DE7">
        <w:t xml:space="preserve"> </w:t>
      </w:r>
      <w:r>
        <w:t>[</w:t>
      </w:r>
      <w:r w:rsidRPr="002843B9">
        <w:rPr>
          <w:i/>
          <w:iCs/>
          <w:sz w:val="22"/>
          <w:szCs w:val="22"/>
          <w:highlight w:val="yellow"/>
        </w:rPr>
        <w:t>insert current service location</w:t>
      </w:r>
      <w:r>
        <w:t>] [</w:t>
      </w:r>
      <w:r>
        <w:rPr>
          <w:i/>
          <w:iCs/>
          <w:sz w:val="20"/>
          <w:szCs w:val="20"/>
          <w:highlight w:val="yellow"/>
        </w:rPr>
        <w:t>o</w:t>
      </w:r>
      <w:r>
        <w:rPr>
          <w:i/>
          <w:iCs/>
          <w:sz w:val="20"/>
          <w:szCs w:val="20"/>
        </w:rPr>
        <w:t>r</w:t>
      </w:r>
      <w:r>
        <w:t xml:space="preserve">] [Denver, CO].  Electric Metering Devices must have an </w:t>
      </w:r>
      <w:proofErr w:type="spellStart"/>
      <w:r>
        <w:t>Itron</w:t>
      </w:r>
      <w:proofErr w:type="spellEnd"/>
      <w:r>
        <w:t xml:space="preserve"> approved Translation Interface Module to facilitate correct data transmission over this communication path. </w:t>
      </w:r>
    </w:p>
    <w:p w14:paraId="62D374EC" w14:textId="77777777" w:rsidR="00B63F33" w:rsidRDefault="00B63F33" w:rsidP="007C5A7E">
      <w:pPr>
        <w:numPr>
          <w:ilvl w:val="1"/>
          <w:numId w:val="42"/>
        </w:numPr>
        <w:spacing w:after="240"/>
        <w:jc w:val="both"/>
      </w:pPr>
      <w:r>
        <w:t>Prior to generating Test Energy, Seller shall provide to Company one-line electrical drawings of the Facility showing the electrical location of the Electric Metering Devices for Company’s review and approval.</w:t>
      </w:r>
    </w:p>
    <w:sectPr w:rsidR="00B63F33" w:rsidSect="002B7809">
      <w:headerReference w:type="default" r:id="rId131"/>
      <w:footerReference w:type="default" r:id="rId132"/>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04A58" w14:textId="77777777" w:rsidR="00AA367E" w:rsidRDefault="00AA367E">
      <w:r>
        <w:separator/>
      </w:r>
    </w:p>
    <w:p w14:paraId="1E10C380" w14:textId="77777777" w:rsidR="00AA367E" w:rsidRDefault="00AA367E"/>
  </w:endnote>
  <w:endnote w:type="continuationSeparator" w:id="0">
    <w:p w14:paraId="29ABFC3A" w14:textId="77777777" w:rsidR="00AA367E" w:rsidRDefault="00AA367E">
      <w:r>
        <w:continuationSeparator/>
      </w:r>
    </w:p>
    <w:p w14:paraId="45F8018E" w14:textId="77777777" w:rsidR="00AA367E" w:rsidRDefault="00AA367E"/>
  </w:endnote>
  <w:endnote w:type="continuationNotice" w:id="1">
    <w:p w14:paraId="4EFBABFA" w14:textId="77777777" w:rsidR="00AA367E" w:rsidRDefault="00AA36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Courier">
    <w:panose1 w:val="02070409020205020404"/>
    <w:charset w:val="00"/>
    <w:family w:val="modern"/>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G Times">
    <w:altName w:val="Times New Roman"/>
    <w:charset w:val="00"/>
    <w:family w:val="roman"/>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BB9A7" w14:textId="2B6E8A40" w:rsidR="00B63F33" w:rsidRDefault="00B63F33">
    <w:pPr>
      <w:framePr w:wrap="around" w:vAnchor="text" w:hAnchor="margin" w:xAlign="right" w:y="1"/>
      <w:tabs>
        <w:tab w:val="center" w:pos="4680"/>
        <w:tab w:val="right" w:pos="9360"/>
      </w:tabs>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Pr>
        <w:rStyle w:val="PageNumber"/>
        <w:rFonts w:ascii="Arial" w:hAnsi="Arial"/>
        <w:noProof/>
      </w:rPr>
      <w:t>i</w:t>
    </w:r>
    <w:r>
      <w:rPr>
        <w:rStyle w:val="PageNumber"/>
        <w:rFonts w:ascii="Arial" w:hAnsi="Arial"/>
      </w:rPr>
      <w:fldChar w:fldCharType="end"/>
    </w:r>
  </w:p>
  <w:p w14:paraId="28AE0F37" w14:textId="77777777" w:rsidR="00B63F33" w:rsidRDefault="00B63F33">
    <w:pPr>
      <w:tabs>
        <w:tab w:val="center" w:pos="4680"/>
        <w:tab w:val="right" w:pos="9360"/>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7AB21" w14:textId="77777777" w:rsidR="00B63F33" w:rsidRDefault="00B63F33">
    <w:pPr>
      <w:tabs>
        <w:tab w:val="center" w:pos="4680"/>
        <w:tab w:val="right" w:pos="9360"/>
      </w:tabs>
      <w:spacing w:line="200" w:lineRule="exact"/>
    </w:pPr>
    <w:r>
      <w:tab/>
    </w:r>
  </w:p>
  <w:p w14:paraId="5F7CE61B" w14:textId="507E1C3C" w:rsidR="00B63F33" w:rsidRDefault="000E1AD0" w:rsidP="00691098">
    <w:pPr>
      <w:pStyle w:val="Footer"/>
    </w:pPr>
    <w:r>
      <w:rPr>
        <w:noProof/>
        <w:lang w:val="en-GB" w:eastAsia="zh-CN"/>
      </w:rPr>
      <mc:AlternateContent>
        <mc:Choice Requires="wps">
          <w:drawing>
            <wp:anchor distT="0" distB="0" distL="114300" distR="114300" simplePos="0" relativeHeight="251658240" behindDoc="1" locked="0" layoutInCell="1" allowOverlap="1" wp14:anchorId="0D7F2C68" wp14:editId="285E9B72">
              <wp:simplePos x="0" y="0"/>
              <wp:positionH relativeFrom="margin">
                <wp:posOffset>-67945</wp:posOffset>
              </wp:positionH>
              <wp:positionV relativeFrom="paragraph">
                <wp:posOffset>-111125</wp:posOffset>
              </wp:positionV>
              <wp:extent cx="2560320" cy="25590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6D2BD" w14:textId="77777777" w:rsidR="00B63F33" w:rsidRDefault="00B63F33">
                          <w:pPr>
                            <w:pStyle w:val="MacPacTrailer"/>
                          </w:pPr>
                          <w:r>
                            <w:t>DB2/ 42836175.5</w:t>
                          </w:r>
                        </w:p>
                        <w:p w14:paraId="78EF9B5C" w14:textId="77777777" w:rsidR="00B63F33" w:rsidRDefault="00B63F33">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7F2C68" id="_x0000_t202" coordsize="21600,21600" o:spt="202" path="m,l,21600r21600,l21600,xe">
              <v:stroke joinstyle="miter"/>
              <v:path gradientshapeok="t" o:connecttype="rect"/>
            </v:shapetype>
            <v:shape id="Text Box 4" o:spid="_x0000_s1026" type="#_x0000_t202" style="position:absolute;margin-left:-5.35pt;margin-top:-8.75pt;width:201.6pt;height:20.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yyy1gEAAJEDAAAOAAAAZHJzL2Uyb0RvYy54bWysU9uO0zAQfUfiHyy/06RBXUHUdLXsahHS&#10;AistfIDr2ElE4jEzbpPy9YydpsvlDfFiTWbsM+ecmWyvp6EXR4PUgavkepVLYZyGunNNJb9+uX/1&#10;RgoKytWqB2cqeTIkr3cvX2xHX5oCWuhrg4JBHJWjr2Qbgi+zjHRrBkUr8MZx0QIOKvAnNlmNamT0&#10;oc+KPL/KRsDaI2hDxNm7uSh3Cd9ao8Nna8kE0VeSuYV0Yjr38cx2W1U2qHzb6TMN9Q8sBtU5bnqB&#10;ulNBiQN2f0ENnUYgsGGlYcjA2k6bpIHVrPM/1Dy1ypukhc0hf7GJ/h+s/nR88o8owvQOJh5gEkH+&#10;AfQ3Eg5uW+Uac4MIY2tUzY3X0bJs9FSen0arqaQIsh8/Qs1DVocACWiyOERXWKdgdB7A6WK6mYLQ&#10;nCw2V/nrgkuaa8Vm8zbfpBaqXF57pPDewCBiUEnkoSZ0dXygENmocrkSmzm47/o+DbZ3vyX4Yswk&#10;9pHwTD1M+4lvRxV7qE+sA2HeE95rDlrAH1KMvCOVpO8HhUaK/oNjL+JCLQEuwX4JlNP8tJJBijm8&#10;DfPiHTx2TcvIs9sObtgv2yUpzyzOPHnuSeF5R+Ni/fqdbj3/SbufAAAA//8DAFBLAwQUAAYACAAA&#10;ACEADWD7Xt8AAAAKAQAADwAAAGRycy9kb3ducmV2LnhtbEyPTU/DMAyG70j8h8hI3LZ0ReyjNJ0m&#10;BCckRFcOHNPGa6M1Tmmyrfx7vBPcXsuPXj/Ot5PrxRnHYD0pWMwTEEiNN5ZaBZ/V62wNIkRNRvee&#10;UMEPBtgWtze5zoy/UInnfWwFl1DItIIuxiGTMjQdOh3mfkDi3cGPTkcex1aaUV+43PUyTZKldNoS&#10;X+j0gM8dNsf9ySnYfVH5Yr/f64/yUNqq2iT0tjwqdX837Z5ARJziHwxXfVaHgp1qfyITRK9gtkhW&#10;jF7D6hEEEw+blEOtIE3XIItc/n+h+AUAAP//AwBQSwECLQAUAAYACAAAACEAtoM4kv4AAADhAQAA&#10;EwAAAAAAAAAAAAAAAAAAAAAAW0NvbnRlbnRfVHlwZXNdLnhtbFBLAQItABQABgAIAAAAIQA4/SH/&#10;1gAAAJQBAAALAAAAAAAAAAAAAAAAAC8BAABfcmVscy8ucmVsc1BLAQItABQABgAIAAAAIQAcdyyy&#10;1gEAAJEDAAAOAAAAAAAAAAAAAAAAAC4CAABkcnMvZTJvRG9jLnhtbFBLAQItABQABgAIAAAAIQAN&#10;YPte3wAAAAoBAAAPAAAAAAAAAAAAAAAAADAEAABkcnMvZG93bnJldi54bWxQSwUGAAAAAAQABADz&#10;AAAAPAUAAAAA&#10;" filled="f" stroked="f">
              <v:textbox inset="0,0,0,0">
                <w:txbxContent>
                  <w:p w14:paraId="76A6D2BD" w14:textId="77777777" w:rsidR="00B63F33" w:rsidRDefault="00B63F33">
                    <w:pPr>
                      <w:pStyle w:val="MacPacTrailer"/>
                    </w:pPr>
                    <w:r>
                      <w:t>DB2/ 42836175.5</w:t>
                    </w:r>
                  </w:p>
                  <w:p w14:paraId="78EF9B5C" w14:textId="77777777" w:rsidR="00B63F33" w:rsidRDefault="00B63F33">
                    <w:pPr>
                      <w:pStyle w:val="MacPacTraile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2942B" w14:textId="77777777" w:rsidR="00B63F33" w:rsidRDefault="00B63F33">
    <w:pPr>
      <w:pStyle w:val="Footer"/>
    </w:pPr>
    <w:r>
      <w:tab/>
    </w:r>
  </w:p>
  <w:p w14:paraId="23DAED38" w14:textId="77777777" w:rsidR="00B63F33" w:rsidRPr="00691098" w:rsidRDefault="00B63F33" w:rsidP="006910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50A1A" w14:textId="77777777" w:rsidR="00B63F33" w:rsidRDefault="00B63F3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147BC" w14:textId="77777777" w:rsidR="00B63F33" w:rsidRDefault="00B63F33">
    <w:pPr>
      <w:tabs>
        <w:tab w:val="center" w:pos="4680"/>
        <w:tab w:val="right" w:pos="9360"/>
      </w:tabs>
      <w:spacing w:line="200" w:lineRule="exact"/>
      <w:rPr>
        <w:rStyle w:val="PageNumber"/>
        <w:rFonts w:ascii="Arial" w:hAnsi="Arial"/>
      </w:rPr>
    </w:pPr>
    <w:r>
      <w:rPr>
        <w:rStyle w:val="PageNumber"/>
        <w:rFonts w:ascii="Arial" w:hAnsi="Arial"/>
      </w:rPr>
      <w:tab/>
    </w:r>
    <w:r>
      <w:rPr>
        <w:rStyle w:val="PageNumber"/>
        <w:rFonts w:ascii="Arial" w:hAnsi="Arial"/>
      </w:rPr>
      <w:fldChar w:fldCharType="begin"/>
    </w:r>
    <w:r>
      <w:rPr>
        <w:rStyle w:val="PageNumber"/>
        <w:rFonts w:ascii="Arial" w:hAnsi="Arial"/>
      </w:rPr>
      <w:instrText xml:space="preserve"> PAGE </w:instrText>
    </w:r>
    <w:r>
      <w:rPr>
        <w:rStyle w:val="PageNumber"/>
        <w:rFonts w:ascii="Arial" w:hAnsi="Arial"/>
      </w:rPr>
      <w:fldChar w:fldCharType="separate"/>
    </w:r>
    <w:r>
      <w:rPr>
        <w:rStyle w:val="PageNumber"/>
        <w:rFonts w:ascii="Arial" w:hAnsi="Arial"/>
        <w:noProof/>
      </w:rPr>
      <w:t>i</w:t>
    </w:r>
    <w:r>
      <w:rPr>
        <w:rStyle w:val="PageNumber"/>
        <w:rFonts w:ascii="Arial" w:hAnsi="Arial"/>
      </w:rPr>
      <w:fldChar w:fldCharType="end"/>
    </w:r>
  </w:p>
  <w:p w14:paraId="16E9D3E9" w14:textId="77777777" w:rsidR="00B63F33" w:rsidRDefault="00B63F33" w:rsidP="006910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C41EC" w14:textId="77777777" w:rsidR="00B63F33" w:rsidRDefault="00B63F3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5B6CD" w14:textId="77777777" w:rsidR="00B63F33" w:rsidRDefault="00B63F33">
    <w:pPr>
      <w:pStyle w:val="Header1"/>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509F5" w14:textId="77777777" w:rsidR="00B63F33" w:rsidRDefault="00B63F33">
    <w:pPr>
      <w:pStyle w:val="Footer"/>
      <w:rPr>
        <w:rStyle w:val="PageNumber"/>
        <w:rFonts w:ascii="Arial" w:hAnsi="Arial" w:cs="Arial"/>
      </w:rPr>
    </w:pPr>
    <w:r>
      <w:rPr>
        <w:rStyle w:val="PageNumber"/>
        <w:rFonts w:ascii="Arial" w:hAnsi="Arial" w:cs="Arial"/>
      </w:rPr>
      <w:tab/>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1</w:t>
    </w:r>
    <w:r>
      <w:rPr>
        <w:rStyle w:val="PageNumber"/>
        <w:rFonts w:ascii="Arial" w:hAnsi="Arial" w:cs="Arial"/>
      </w:rPr>
      <w:fldChar w:fldCharType="end"/>
    </w:r>
  </w:p>
  <w:p w14:paraId="02FBC85C" w14:textId="77777777" w:rsidR="00B63F33" w:rsidRPr="00691098" w:rsidRDefault="00B63F3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F9C72" w14:textId="77777777" w:rsidR="00B63F33" w:rsidRDefault="00B63F33">
    <w:pPr>
      <w:pStyle w:val="Header1"/>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57726" w14:textId="77777777" w:rsidR="00B63F33" w:rsidRDefault="00B63F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88DB53" w14:textId="77777777" w:rsidR="00B63F33" w:rsidRDefault="00B63F3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57F40" w14:textId="77777777" w:rsidR="00B63F33" w:rsidRDefault="00B63F33">
    <w:pPr>
      <w:pStyle w:val="Footer"/>
    </w:pPr>
    <w:r>
      <w:tab/>
      <w:t>A-</w:t>
    </w:r>
    <w:r>
      <w:fldChar w:fldCharType="begin"/>
    </w:r>
    <w:r>
      <w:instrText>PAGE   \* MERGEFORMAT</w:instrText>
    </w:r>
    <w:r>
      <w:fldChar w:fldCharType="separate"/>
    </w:r>
    <w:r>
      <w:rPr>
        <w:noProof/>
      </w:rPr>
      <w:t>1</w:t>
    </w:r>
    <w:r>
      <w:fldChar w:fldCharType="end"/>
    </w:r>
  </w:p>
  <w:p w14:paraId="374F7CCA" w14:textId="77777777" w:rsidR="00B63F33" w:rsidRDefault="00B63F3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329EF" w14:textId="77777777" w:rsidR="00B63F33" w:rsidRDefault="00B63F33">
    <w:pPr>
      <w:pStyle w:val="Footer"/>
    </w:pPr>
    <w:r>
      <w:tab/>
      <w:t>A-</w:t>
    </w:r>
    <w:r>
      <w:fldChar w:fldCharType="begin"/>
    </w:r>
    <w:r>
      <w:instrText>PAGE   \* MERGEFORMAT</w:instrText>
    </w:r>
    <w:r>
      <w:fldChar w:fldCharType="separate"/>
    </w:r>
    <w:r>
      <w:rPr>
        <w:noProof/>
      </w:rPr>
      <w:t>1</w:t>
    </w:r>
    <w:r>
      <w:fldChar w:fldCharType="end"/>
    </w:r>
  </w:p>
  <w:p w14:paraId="37ACA924" w14:textId="77777777" w:rsidR="00B63F33" w:rsidRDefault="00B63F3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56F59"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FDD748F" w14:textId="77777777" w:rsidR="00B63F33" w:rsidRDefault="00B63F33">
    <w:pPr>
      <w:pStyle w:val="Header1"/>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BC5C2" w14:textId="77777777" w:rsidR="00B63F33" w:rsidRDefault="00B63F33">
    <w:pPr>
      <w:pStyle w:val="Header1"/>
    </w:pPr>
    <w:r>
      <w:tab/>
      <w:t>A-</w:t>
    </w:r>
    <w:r>
      <w:fldChar w:fldCharType="begin"/>
    </w:r>
    <w:r>
      <w:instrText>PAGE   \* MERGEFORMAT</w:instrText>
    </w:r>
    <w:r>
      <w:fldChar w:fldCharType="separate"/>
    </w:r>
    <w:r>
      <w:rPr>
        <w:noProof/>
      </w:rPr>
      <w:t>1</w:t>
    </w:r>
    <w:r>
      <w:fldChar w:fldCharType="end"/>
    </w:r>
  </w:p>
  <w:p w14:paraId="55AE7CB7" w14:textId="77777777" w:rsidR="00B63F33" w:rsidRDefault="00B63F33">
    <w:pPr>
      <w:pStyle w:val="Header1"/>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F5E0B" w14:textId="4089C91E" w:rsidR="00B63F33" w:rsidRDefault="00B63F33">
    <w:pPr>
      <w:pStyle w:val="Footer"/>
    </w:pPr>
    <w:r>
      <w:tab/>
    </w:r>
    <w:r w:rsidR="00F246FE">
      <w:rPr>
        <w:lang w:val="en-US"/>
      </w:rPr>
      <w:t>B</w:t>
    </w:r>
    <w:r>
      <w:t>-</w:t>
    </w:r>
    <w:r>
      <w:fldChar w:fldCharType="begin"/>
    </w:r>
    <w:r>
      <w:instrText>PAGE   \* MERGEFORMAT</w:instrText>
    </w:r>
    <w:r>
      <w:fldChar w:fldCharType="separate"/>
    </w:r>
    <w:r>
      <w:rPr>
        <w:noProof/>
      </w:rPr>
      <w:t>1</w:t>
    </w:r>
    <w:r>
      <w:fldChar w:fldCharType="end"/>
    </w:r>
  </w:p>
  <w:p w14:paraId="6D87C8E6" w14:textId="77777777" w:rsidR="00B63F33" w:rsidRDefault="00B63F3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05159" w14:textId="0A0331B1" w:rsidR="00F246FE" w:rsidRDefault="00F246FE">
    <w:pPr>
      <w:pStyle w:val="Header1"/>
    </w:pPr>
    <w:r>
      <w:tab/>
    </w:r>
    <w:r>
      <w:rPr>
        <w:lang w:val="en-US"/>
      </w:rPr>
      <w:t>C</w:t>
    </w:r>
    <w:r>
      <w:t>-</w:t>
    </w:r>
    <w:r>
      <w:fldChar w:fldCharType="begin"/>
    </w:r>
    <w:r>
      <w:instrText>PAGE   \* MERGEFORMAT</w:instrText>
    </w:r>
    <w:r>
      <w:fldChar w:fldCharType="separate"/>
    </w:r>
    <w:r>
      <w:rPr>
        <w:noProof/>
      </w:rPr>
      <w:t>1</w:t>
    </w:r>
    <w:r>
      <w:fldChar w:fldCharType="end"/>
    </w:r>
  </w:p>
  <w:p w14:paraId="7E8D7E26" w14:textId="77777777" w:rsidR="00F246FE" w:rsidRDefault="00F246FE">
    <w:pPr>
      <w:pStyle w:val="Header1"/>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F7C75" w14:textId="18D4A92C" w:rsidR="00F246FE" w:rsidRDefault="00F246FE">
    <w:pPr>
      <w:pStyle w:val="Footer"/>
    </w:pPr>
    <w:r>
      <w:tab/>
    </w:r>
    <w:r>
      <w:rPr>
        <w:lang w:val="en-US"/>
      </w:rPr>
      <w:t>C</w:t>
    </w:r>
    <w:r>
      <w:t>-</w:t>
    </w:r>
    <w:r>
      <w:fldChar w:fldCharType="begin"/>
    </w:r>
    <w:r>
      <w:instrText>PAGE   \* MERGEFORMAT</w:instrText>
    </w:r>
    <w:r>
      <w:fldChar w:fldCharType="separate"/>
    </w:r>
    <w:r>
      <w:rPr>
        <w:noProof/>
      </w:rPr>
      <w:t>1</w:t>
    </w:r>
    <w:r>
      <w:fldChar w:fldCharType="end"/>
    </w:r>
  </w:p>
  <w:p w14:paraId="029663EF" w14:textId="77777777" w:rsidR="00F246FE" w:rsidRDefault="00F246F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079D5"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AFEAC21" w14:textId="77777777" w:rsidR="00B63F33" w:rsidRDefault="00B63F33">
    <w:pPr>
      <w:pStyle w:val="Header1"/>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854E0" w14:textId="43A86199" w:rsidR="00B63F33" w:rsidRDefault="00B63F33">
    <w:pPr>
      <w:pStyle w:val="Footer"/>
    </w:pPr>
    <w:r>
      <w:tab/>
    </w:r>
    <w:r w:rsidR="00F246FE">
      <w:rPr>
        <w:lang w:val="en-US"/>
      </w:rPr>
      <w:t>D</w:t>
    </w:r>
    <w:r>
      <w:t>-</w:t>
    </w:r>
    <w:r>
      <w:fldChar w:fldCharType="begin"/>
    </w:r>
    <w:r>
      <w:instrText>PAGE   \* MERGEFORMAT</w:instrText>
    </w:r>
    <w:r>
      <w:fldChar w:fldCharType="separate"/>
    </w:r>
    <w:r>
      <w:rPr>
        <w:noProof/>
      </w:rPr>
      <w:t>1</w:t>
    </w:r>
    <w:r>
      <w:fldChar w:fldCharType="end"/>
    </w:r>
  </w:p>
  <w:p w14:paraId="324D076B" w14:textId="77777777" w:rsidR="00B63F33" w:rsidRDefault="00B63F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E547B" w14:textId="77777777" w:rsidR="00B63F33" w:rsidRDefault="00B63F33">
    <w:pPr>
      <w:pStyle w:val="Footer"/>
    </w:pPr>
    <w:r>
      <w:tab/>
      <w:t>D-</w:t>
    </w:r>
    <w:r>
      <w:fldChar w:fldCharType="begin"/>
    </w:r>
    <w:r>
      <w:instrText>PAGE   \* MERGEFORMAT</w:instrText>
    </w:r>
    <w:r>
      <w:fldChar w:fldCharType="separate"/>
    </w:r>
    <w:r>
      <w:rPr>
        <w:noProof/>
      </w:rPr>
      <w:t>1</w:t>
    </w:r>
    <w:r>
      <w:fldChar w:fldCharType="end"/>
    </w:r>
  </w:p>
  <w:p w14:paraId="30BBE4F3" w14:textId="77777777" w:rsidR="00B63F33" w:rsidRDefault="00B63F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144E4"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A0CDAAE" w14:textId="77777777" w:rsidR="00B63F33" w:rsidRDefault="00B63F33">
    <w:pPr>
      <w:pStyle w:val="Header1"/>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BE870" w14:textId="77777777" w:rsidR="00B63F33" w:rsidRDefault="00B63F33">
    <w:pPr>
      <w:pStyle w:val="Footer"/>
    </w:pPr>
    <w:r>
      <w:tab/>
      <w:t>E-</w:t>
    </w:r>
    <w:r>
      <w:fldChar w:fldCharType="begin"/>
    </w:r>
    <w:r>
      <w:instrText>PAGE   \* MERGEFORMAT</w:instrText>
    </w:r>
    <w:r>
      <w:fldChar w:fldCharType="separate"/>
    </w:r>
    <w:r>
      <w:rPr>
        <w:noProof/>
      </w:rPr>
      <w:t>1</w:t>
    </w:r>
    <w:r>
      <w:fldChar w:fldCharType="end"/>
    </w:r>
  </w:p>
  <w:p w14:paraId="0F410C53" w14:textId="77777777" w:rsidR="00B63F33" w:rsidRDefault="00B63F3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7E890" w14:textId="77777777" w:rsidR="00B63F33" w:rsidRDefault="00B63F33">
    <w:pPr>
      <w:pStyle w:val="Footer"/>
    </w:pPr>
    <w:r>
      <w:tab/>
      <w:t>E-</w:t>
    </w:r>
    <w:r>
      <w:fldChar w:fldCharType="begin"/>
    </w:r>
    <w:r>
      <w:instrText>PAGE   \* MERGEFORMAT</w:instrText>
    </w:r>
    <w:r>
      <w:fldChar w:fldCharType="separate"/>
    </w:r>
    <w:r>
      <w:rPr>
        <w:noProof/>
      </w:rPr>
      <w:t>1</w:t>
    </w:r>
    <w:r>
      <w:fldChar w:fldCharType="end"/>
    </w:r>
  </w:p>
  <w:p w14:paraId="4A6193AF" w14:textId="77777777" w:rsidR="00B63F33" w:rsidRDefault="00B63F3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83378"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BB61AD" w14:textId="77777777" w:rsidR="00B63F33" w:rsidRDefault="00B63F33">
    <w:pPr>
      <w:pStyle w:val="Header1"/>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FA801" w14:textId="77777777" w:rsidR="00B63F33" w:rsidRDefault="00B63F33">
    <w:pPr>
      <w:pStyle w:val="Header1"/>
    </w:pPr>
    <w:r>
      <w:tab/>
      <w:t>E-</w:t>
    </w:r>
    <w:r>
      <w:fldChar w:fldCharType="begin"/>
    </w:r>
    <w:r>
      <w:instrText>PAGE   \* MERGEFORMAT</w:instrText>
    </w:r>
    <w:r>
      <w:fldChar w:fldCharType="separate"/>
    </w:r>
    <w:r>
      <w:rPr>
        <w:noProof/>
      </w:rPr>
      <w:t>1</w:t>
    </w:r>
    <w:r>
      <w:fldChar w:fldCharType="end"/>
    </w:r>
  </w:p>
  <w:p w14:paraId="66BD32C2" w14:textId="77777777" w:rsidR="00B63F33" w:rsidRDefault="00B63F33">
    <w:pPr>
      <w:pStyle w:val="Header1"/>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A16CA" w14:textId="77777777" w:rsidR="00B63F33" w:rsidRDefault="00B63F33">
    <w:pPr>
      <w:pStyle w:val="Footer"/>
    </w:pPr>
    <w:r>
      <w:tab/>
      <w:t>F-</w:t>
    </w:r>
    <w:r>
      <w:fldChar w:fldCharType="begin"/>
    </w:r>
    <w:r>
      <w:instrText>PAGE   \* MERGEFORMAT</w:instrText>
    </w:r>
    <w:r>
      <w:fldChar w:fldCharType="separate"/>
    </w:r>
    <w:r>
      <w:rPr>
        <w:noProof/>
      </w:rPr>
      <w:t>1</w:t>
    </w:r>
    <w:r>
      <w:fldChar w:fldCharType="end"/>
    </w:r>
  </w:p>
  <w:p w14:paraId="29692517" w14:textId="77777777" w:rsidR="00B63F33" w:rsidRDefault="00B63F3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1137D"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2056D1E" w14:textId="77777777" w:rsidR="00B63F33" w:rsidRDefault="00B63F33">
    <w:pPr>
      <w:pStyle w:val="Header1"/>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80226" w14:textId="77777777" w:rsidR="00B63F33" w:rsidRDefault="00B63F33">
    <w:pPr>
      <w:pStyle w:val="Footer"/>
    </w:pPr>
    <w:r>
      <w:tab/>
      <w:t>G-</w:t>
    </w:r>
    <w:r>
      <w:fldChar w:fldCharType="begin"/>
    </w:r>
    <w:r>
      <w:instrText>PAGE   \* MERGEFORMAT</w:instrText>
    </w:r>
    <w:r>
      <w:fldChar w:fldCharType="separate"/>
    </w:r>
    <w:r>
      <w:rPr>
        <w:noProof/>
      </w:rPr>
      <w:t>1</w:t>
    </w:r>
    <w:r>
      <w:fldChar w:fldCharType="end"/>
    </w:r>
  </w:p>
  <w:p w14:paraId="60573B01" w14:textId="77777777" w:rsidR="00B63F33" w:rsidRDefault="00B63F3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14FF3" w14:textId="77777777" w:rsidR="00B63F33" w:rsidRDefault="00B63F33">
    <w:pPr>
      <w:pStyle w:val="Footer"/>
    </w:pPr>
    <w:r>
      <w:tab/>
      <w:t>G-</w:t>
    </w:r>
    <w:r>
      <w:fldChar w:fldCharType="begin"/>
    </w:r>
    <w:r>
      <w:instrText>PAGE   \* MERGEFORMAT</w:instrText>
    </w:r>
    <w:r>
      <w:fldChar w:fldCharType="separate"/>
    </w:r>
    <w:r>
      <w:rPr>
        <w:noProof/>
      </w:rPr>
      <w:t>1</w:t>
    </w:r>
    <w:r>
      <w:fldChar w:fldCharType="end"/>
    </w:r>
  </w:p>
  <w:p w14:paraId="34F50308" w14:textId="77777777" w:rsidR="00B63F33" w:rsidRDefault="00B63F3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8725C"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CC7F595" w14:textId="77777777" w:rsidR="00B63F33" w:rsidRDefault="00B63F33">
    <w:pPr>
      <w:pStyle w:val="Header1"/>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F3DC9" w14:textId="77777777" w:rsidR="00B63F33" w:rsidRDefault="00B63F33">
    <w:pPr>
      <w:tabs>
        <w:tab w:val="center" w:pos="4680"/>
        <w:tab w:val="right" w:pos="9360"/>
      </w:tabs>
      <w:spacing w:line="200" w:lineRule="exact"/>
      <w:rPr>
        <w:rStyle w:val="PageNumber"/>
      </w:rPr>
    </w:pPr>
    <w:r>
      <w:rPr>
        <w:rStyle w:val="PageNumber"/>
      </w:rPr>
      <w:tab/>
      <w:t>G-</w:t>
    </w: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p w14:paraId="3EB22335" w14:textId="3DAEC67A" w:rsidR="00B63F33" w:rsidRPr="00691098" w:rsidRDefault="000E1AD0" w:rsidP="00691098">
    <w:pPr>
      <w:pStyle w:val="Footer"/>
    </w:pPr>
    <w:r>
      <w:rPr>
        <w:noProof/>
        <w:lang w:val="en-GB" w:eastAsia="zh-CN"/>
      </w:rPr>
      <mc:AlternateContent>
        <mc:Choice Requires="wps">
          <w:drawing>
            <wp:anchor distT="0" distB="0" distL="114300" distR="114300" simplePos="0" relativeHeight="251658241" behindDoc="1" locked="0" layoutInCell="1" allowOverlap="1" wp14:anchorId="62D74747" wp14:editId="2D44A65B">
              <wp:simplePos x="0" y="0"/>
              <wp:positionH relativeFrom="margin">
                <wp:posOffset>-67945</wp:posOffset>
              </wp:positionH>
              <wp:positionV relativeFrom="paragraph">
                <wp:posOffset>-111125</wp:posOffset>
              </wp:positionV>
              <wp:extent cx="2560320" cy="25590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2B7986" w14:textId="77777777" w:rsidR="00B63F33" w:rsidRDefault="00B63F33">
                          <w:pPr>
                            <w:pStyle w:val="MacPacTrailer"/>
                          </w:pPr>
                          <w:r>
                            <w:t>DB2/ 42836175.5</w:t>
                          </w:r>
                        </w:p>
                        <w:p w14:paraId="37E1F9A0" w14:textId="77777777" w:rsidR="00B63F33" w:rsidRDefault="00B63F33">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D74747" id="_x0000_t202" coordsize="21600,21600" o:spt="202" path="m,l,21600r21600,l21600,xe">
              <v:stroke joinstyle="miter"/>
              <v:path gradientshapeok="t" o:connecttype="rect"/>
            </v:shapetype>
            <v:shape id="Text Box 3" o:spid="_x0000_s1027" type="#_x0000_t202" style="position:absolute;margin-left:-5.35pt;margin-top:-8.75pt;width:201.6pt;height:20.1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uiZ2AEAAJgDAAAOAAAAZHJzL2Uyb0RvYy54bWysU9tu1DAQfUfiHyy/s8kGbQXRZqvSqgip&#10;QKXCBziOnVgkHjP2brJ8PWMn2XJ5Q7xYkxn7zDlnJvvraejZSaE3YCu+3eScKSuhMbat+Ncv96/e&#10;cOaDsI3owaqKn5Xn14eXL/ajK1UBHfSNQkYg1pejq3gXgiuzzMtODcJvwClLRQ04iECf2GYNipHQ&#10;hz4r8vwqGwEbhyCV95S9m4v8kPC1VjJ81tqrwPqKE7eQTkxnHc/ssBdli8J1Ri40xD+wGISx1PQC&#10;dSeCYEc0f0ENRiJ40GEjYchAayNV0kBqtvkfap464VTSQuZ4d7HJ/z9Y+en05B6RhekdTDTAJMK7&#10;B5DfPLNw2wnbqhtEGDslGmq8jZZlo/Pl8jRa7UsfQerxIzQ0ZHEMkIAmjUN0hXQyQqcBnC+mqykw&#10;Sclid5W/LqgkqVbsdm/zXWohyvW1Qx/eKxhYDCqONNSELk4PPkQ2olyvxGYW7k3fp8H29rcEXYyZ&#10;xD4SnqmHqZ6YaRZpUUwNzZnkIMzrQutNQQf4g7ORVqXi/vtRoOKs/2DJkrhXa4BrUK+BsJKeVjxw&#10;Noe3Yd6/o0PTdoQ8m27hhmzTJil6ZrHQpfEnocuqxv369Tvdev6hDj8BAAD//wMAUEsDBBQABgAI&#10;AAAAIQANYPte3wAAAAoBAAAPAAAAZHJzL2Rvd25yZXYueG1sTI9NT8MwDIbvSPyHyEjctnRF7KM0&#10;nSYEJyREVw4c08ZrozVOabKt/Hu8E9xey49eP863k+vFGcdgPSlYzBMQSI03lloFn9XrbA0iRE1G&#10;955QwQ8G2Ba3N7nOjL9Qied9bAWXUMi0gi7GIZMyNB06HeZ+QOLdwY9ORx7HVppRX7jc9TJNkqV0&#10;2hJf6PSAzx02x/3JKdh9Ufliv9/rj/JQ2qraJPS2PCp1fzftnkBEnOIfDFd9VoeCnWp/IhNEr2C2&#10;SFaMXsPqEQQTD5uUQ60gTdcgi1z+f6H4BQAA//8DAFBLAQItABQABgAIAAAAIQC2gziS/gAAAOEB&#10;AAATAAAAAAAAAAAAAAAAAAAAAABbQ29udGVudF9UeXBlc10ueG1sUEsBAi0AFAAGAAgAAAAhADj9&#10;If/WAAAAlAEAAAsAAAAAAAAAAAAAAAAALwEAAF9yZWxzLy5yZWxzUEsBAi0AFAAGAAgAAAAhAHqa&#10;6JnYAQAAmAMAAA4AAAAAAAAAAAAAAAAALgIAAGRycy9lMm9Eb2MueG1sUEsBAi0AFAAGAAgAAAAh&#10;AA1g+17fAAAACgEAAA8AAAAAAAAAAAAAAAAAMgQAAGRycy9kb3ducmV2LnhtbFBLBQYAAAAABAAE&#10;APMAAAA+BQAAAAA=&#10;" filled="f" stroked="f">
              <v:textbox inset="0,0,0,0">
                <w:txbxContent>
                  <w:p w14:paraId="6D2B7986" w14:textId="77777777" w:rsidR="00B63F33" w:rsidRDefault="00B63F33">
                    <w:pPr>
                      <w:pStyle w:val="MacPacTrailer"/>
                    </w:pPr>
                    <w:r>
                      <w:t>DB2/ 42836175.5</w:t>
                    </w:r>
                  </w:p>
                  <w:p w14:paraId="37E1F9A0" w14:textId="77777777" w:rsidR="00B63F33" w:rsidRDefault="00B63F33">
                    <w:pPr>
                      <w:pStyle w:val="MacPacTrailer"/>
                    </w:pP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800A3" w14:textId="77777777" w:rsidR="00B63F33" w:rsidRDefault="00B63F33">
    <w:pPr>
      <w:pStyle w:val="Footer"/>
    </w:pPr>
    <w:r>
      <w:tab/>
      <w:t>G-</w:t>
    </w:r>
    <w:r>
      <w:fldChar w:fldCharType="begin"/>
    </w:r>
    <w:r>
      <w:instrText>PAGE   \* MERGEFORMAT</w:instrText>
    </w:r>
    <w:r>
      <w:fldChar w:fldCharType="separate"/>
    </w:r>
    <w:r>
      <w:rPr>
        <w:noProof/>
      </w:rPr>
      <w:t>4</w:t>
    </w:r>
    <w:r>
      <w:fldChar w:fldCharType="end"/>
    </w:r>
  </w:p>
  <w:p w14:paraId="2DCD688C" w14:textId="77777777" w:rsidR="00B63F33" w:rsidRDefault="00B63F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BDA87"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0DB453D" w14:textId="77777777" w:rsidR="00B63F33" w:rsidRDefault="00B63F33">
    <w:pPr>
      <w:pStyle w:val="Header1"/>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B91FE" w14:textId="77777777" w:rsidR="00B63F33" w:rsidRDefault="00B63F33">
    <w:pPr>
      <w:pStyle w:val="Footer"/>
    </w:pPr>
    <w:r>
      <w:tab/>
      <w:t>H-</w:t>
    </w:r>
    <w:r>
      <w:fldChar w:fldCharType="begin"/>
    </w:r>
    <w:r>
      <w:instrText>PAGE   \* MERGEFORMAT</w:instrText>
    </w:r>
    <w:r>
      <w:fldChar w:fldCharType="separate"/>
    </w:r>
    <w:r>
      <w:rPr>
        <w:noProof/>
      </w:rPr>
      <w:t>1</w:t>
    </w:r>
    <w:r>
      <w:fldChar w:fldCharType="end"/>
    </w:r>
  </w:p>
  <w:p w14:paraId="157C9983" w14:textId="77777777" w:rsidR="00B63F33" w:rsidRDefault="00B63F3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90A97" w14:textId="77777777" w:rsidR="00B63F33" w:rsidRDefault="00B63F33">
    <w:pPr>
      <w:pStyle w:val="Header1"/>
    </w:pPr>
    <w:r>
      <w:tab/>
      <w:t>G-</w:t>
    </w:r>
    <w:r>
      <w:fldChar w:fldCharType="begin"/>
    </w:r>
    <w:r>
      <w:instrText>PAGE   \* MERGEFORMAT</w:instrText>
    </w:r>
    <w:r>
      <w:fldChar w:fldCharType="separate"/>
    </w:r>
    <w:r>
      <w:rPr>
        <w:noProof/>
      </w:rPr>
      <w:t>1</w:t>
    </w:r>
    <w:r>
      <w:fldChar w:fldCharType="end"/>
    </w:r>
  </w:p>
  <w:p w14:paraId="3F38265C" w14:textId="77777777" w:rsidR="00B63F33" w:rsidRDefault="00B63F33">
    <w:pPr>
      <w:pStyle w:val="Header1"/>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81DB5"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D3875EF" w14:textId="77777777" w:rsidR="00B63F33" w:rsidRDefault="00B63F33">
    <w:pPr>
      <w:pStyle w:val="Header1"/>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7D825" w14:textId="77777777" w:rsidR="00B63F33" w:rsidRDefault="00B63F33">
    <w:pPr>
      <w:pStyle w:val="Footer"/>
    </w:pPr>
    <w:r>
      <w:tab/>
      <w:t>I-</w:t>
    </w:r>
    <w:r>
      <w:fldChar w:fldCharType="begin"/>
    </w:r>
    <w:r>
      <w:instrText>PAGE   \* MERGEFORMAT</w:instrText>
    </w:r>
    <w:r>
      <w:fldChar w:fldCharType="separate"/>
    </w:r>
    <w:r>
      <w:rPr>
        <w:noProof/>
      </w:rPr>
      <w:t>1</w:t>
    </w:r>
    <w:r>
      <w:fldChar w:fldCharType="end"/>
    </w:r>
  </w:p>
  <w:p w14:paraId="6A1BDDA7" w14:textId="77777777" w:rsidR="00B63F33" w:rsidRDefault="00B63F3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79EF7" w14:textId="77777777" w:rsidR="00B63F33" w:rsidRDefault="00B63F33">
    <w:pPr>
      <w:pStyle w:val="Header1"/>
    </w:pPr>
    <w:r>
      <w:tab/>
      <w:t>G-</w:t>
    </w:r>
    <w:r>
      <w:fldChar w:fldCharType="begin"/>
    </w:r>
    <w:r>
      <w:instrText>PAGE   \* MERGEFORMAT</w:instrText>
    </w:r>
    <w:r>
      <w:fldChar w:fldCharType="separate"/>
    </w:r>
    <w:r>
      <w:rPr>
        <w:noProof/>
      </w:rPr>
      <w:t>1</w:t>
    </w:r>
    <w:r>
      <w:fldChar w:fldCharType="end"/>
    </w:r>
  </w:p>
  <w:p w14:paraId="747A2346" w14:textId="77777777" w:rsidR="00B63F33" w:rsidRDefault="00B63F33">
    <w:pPr>
      <w:pStyle w:val="Header1"/>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A9B14"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FBFF0C" w14:textId="77777777" w:rsidR="00B63F33" w:rsidRDefault="00B63F33">
    <w:pPr>
      <w:pStyle w:val="Header1"/>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B83DB" w14:textId="77777777" w:rsidR="00B63F33" w:rsidRDefault="00B63F33">
    <w:pPr>
      <w:pStyle w:val="Footer"/>
    </w:pPr>
    <w:r>
      <w:tab/>
      <w:t>J-</w:t>
    </w:r>
    <w:r>
      <w:fldChar w:fldCharType="begin"/>
    </w:r>
    <w:r>
      <w:instrText>PAGE   \* MERGEFORMAT</w:instrText>
    </w:r>
    <w:r>
      <w:fldChar w:fldCharType="separate"/>
    </w:r>
    <w:r>
      <w:rPr>
        <w:noProof/>
      </w:rPr>
      <w:t>1</w:t>
    </w:r>
    <w:r>
      <w:fldChar w:fldCharType="end"/>
    </w:r>
  </w:p>
  <w:p w14:paraId="006E5F06" w14:textId="77777777" w:rsidR="00B63F33" w:rsidRDefault="00B63F3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E5C8D" w14:textId="77777777" w:rsidR="00B63F33" w:rsidRDefault="00B63F33">
    <w:pPr>
      <w:pStyle w:val="Header1"/>
    </w:pPr>
    <w:r>
      <w:tab/>
      <w:t>G-</w:t>
    </w:r>
    <w:r>
      <w:fldChar w:fldCharType="begin"/>
    </w:r>
    <w:r>
      <w:instrText>PAGE   \* MERGEFORMAT</w:instrText>
    </w:r>
    <w:r>
      <w:fldChar w:fldCharType="separate"/>
    </w:r>
    <w:r>
      <w:rPr>
        <w:noProof/>
      </w:rPr>
      <w:t>1</w:t>
    </w:r>
    <w:r>
      <w:fldChar w:fldCharType="end"/>
    </w:r>
  </w:p>
  <w:p w14:paraId="4E216124" w14:textId="77777777" w:rsidR="00B63F33" w:rsidRDefault="00B63F33">
    <w:pPr>
      <w:pStyle w:val="Header1"/>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37594"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9A25AAC" w14:textId="77777777" w:rsidR="00B63F33" w:rsidRDefault="00B63F33">
    <w:pPr>
      <w:pStyle w:val="Header1"/>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7FF32" w14:textId="77777777" w:rsidR="00B63F33" w:rsidRDefault="00B63F33">
    <w:pPr>
      <w:pStyle w:val="Footer"/>
    </w:pPr>
    <w:r>
      <w:tab/>
      <w:t>K-</w:t>
    </w:r>
    <w:r>
      <w:fldChar w:fldCharType="begin"/>
    </w:r>
    <w:r>
      <w:instrText>PAGE   \* MERGEFORMAT</w:instrText>
    </w:r>
    <w:r>
      <w:fldChar w:fldCharType="separate"/>
    </w:r>
    <w:r>
      <w:rPr>
        <w:noProof/>
      </w:rPr>
      <w:t>1</w:t>
    </w:r>
    <w:r>
      <w:fldChar w:fldCharType="end"/>
    </w:r>
  </w:p>
  <w:p w14:paraId="6A25F08C" w14:textId="77777777" w:rsidR="00B63F33" w:rsidRDefault="00B63F3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53D57" w14:textId="77777777" w:rsidR="00B63F33" w:rsidRDefault="00B63F33">
    <w:pPr>
      <w:pStyle w:val="Header1"/>
    </w:pPr>
    <w:r>
      <w:tab/>
      <w:t>G-</w:t>
    </w:r>
    <w:r>
      <w:fldChar w:fldCharType="begin"/>
    </w:r>
    <w:r>
      <w:instrText>PAGE   \* MERGEFORMAT</w:instrText>
    </w:r>
    <w:r>
      <w:fldChar w:fldCharType="separate"/>
    </w:r>
    <w:r>
      <w:rPr>
        <w:noProof/>
      </w:rPr>
      <w:t>1</w:t>
    </w:r>
    <w:r>
      <w:fldChar w:fldCharType="end"/>
    </w:r>
  </w:p>
  <w:p w14:paraId="433ED78C" w14:textId="77777777" w:rsidR="00B63F33" w:rsidRDefault="00B63F33">
    <w:pPr>
      <w:pStyle w:val="Header1"/>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565F2"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C4B26B" w14:textId="77777777" w:rsidR="00B63F33" w:rsidRDefault="00B63F33">
    <w:pPr>
      <w:pStyle w:val="Header1"/>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6A9F2" w14:textId="38AF46AD" w:rsidR="00B63F33" w:rsidRDefault="00B63F33">
    <w:pPr>
      <w:pStyle w:val="Footer"/>
    </w:pPr>
    <w:r>
      <w:tab/>
      <w:t>L</w:t>
    </w:r>
    <w:r w:rsidR="00C05EBD">
      <w:rPr>
        <w:lang w:val="en-US"/>
      </w:rPr>
      <w:t>-1</w:t>
    </w:r>
    <w:r>
      <w:rPr>
        <w:lang w:val="en-US"/>
      </w:rPr>
      <w:t>-</w:t>
    </w:r>
    <w:r>
      <w:fldChar w:fldCharType="begin"/>
    </w:r>
    <w:r>
      <w:instrText>PAGE   \* MERGEFORMAT</w:instrText>
    </w:r>
    <w:r>
      <w:fldChar w:fldCharType="separate"/>
    </w:r>
    <w:r>
      <w:rPr>
        <w:noProof/>
      </w:rPr>
      <w:t>1</w:t>
    </w:r>
    <w:r>
      <w:fldChar w:fldCharType="end"/>
    </w:r>
  </w:p>
  <w:p w14:paraId="76C2A644" w14:textId="77777777" w:rsidR="00B63F33" w:rsidRDefault="00B63F3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F70EF" w14:textId="77777777" w:rsidR="00B63F33" w:rsidRDefault="00B63F33">
    <w:pPr>
      <w:pStyle w:val="Header1"/>
    </w:pPr>
    <w:r>
      <w:tab/>
      <w:t>G-</w:t>
    </w:r>
    <w:r>
      <w:fldChar w:fldCharType="begin"/>
    </w:r>
    <w:r>
      <w:instrText>PAGE   \* MERGEFORMAT</w:instrText>
    </w:r>
    <w:r>
      <w:fldChar w:fldCharType="separate"/>
    </w:r>
    <w:r>
      <w:rPr>
        <w:noProof/>
      </w:rPr>
      <w:t>1</w:t>
    </w:r>
    <w:r>
      <w:fldChar w:fldCharType="end"/>
    </w:r>
  </w:p>
  <w:p w14:paraId="030C52BA" w14:textId="77777777" w:rsidR="00B63F33" w:rsidRDefault="00B63F33">
    <w:pPr>
      <w:pStyle w:val="Header1"/>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A4498" w14:textId="502FCFAB"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53266">
      <w:rPr>
        <w:rStyle w:val="PageNumber"/>
        <w:noProof/>
      </w:rPr>
      <w:t>1</w:t>
    </w:r>
    <w:r>
      <w:rPr>
        <w:rStyle w:val="PageNumber"/>
      </w:rPr>
      <w:fldChar w:fldCharType="end"/>
    </w:r>
  </w:p>
  <w:p w14:paraId="73B63D3A" w14:textId="77777777" w:rsidR="00B63F33" w:rsidRDefault="00B63F33">
    <w:pPr>
      <w:pStyle w:val="Header1"/>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7A388" w14:textId="38F8CF3C" w:rsidR="00B63F33" w:rsidRDefault="00B63F33">
    <w:pPr>
      <w:pStyle w:val="Footer"/>
      <w:rPr>
        <w:lang w:val="en-US"/>
      </w:rPr>
    </w:pPr>
    <w:r>
      <w:tab/>
    </w:r>
    <w:r w:rsidR="00C05EBD">
      <w:rPr>
        <w:lang w:val="en-US"/>
      </w:rPr>
      <w:t>L-2</w:t>
    </w:r>
    <w:r>
      <w:rPr>
        <w:lang w:val="en-US"/>
      </w:rPr>
      <w:t>-</w:t>
    </w:r>
    <w:r>
      <w:rPr>
        <w:lang w:val="en-US"/>
      </w:rPr>
      <w:fldChar w:fldCharType="begin"/>
    </w:r>
    <w:r>
      <w:rPr>
        <w:lang w:val="en-US"/>
      </w:rPr>
      <w:instrText>PAGE   \* MERGEFORMAT</w:instrText>
    </w:r>
    <w:r>
      <w:rPr>
        <w:lang w:val="en-US"/>
      </w:rPr>
      <w:fldChar w:fldCharType="separate"/>
    </w:r>
    <w:r>
      <w:rPr>
        <w:noProof/>
        <w:lang w:val="en-US"/>
      </w:rPr>
      <w:t>1</w:t>
    </w:r>
    <w:r>
      <w:rPr>
        <w:noProof/>
        <w:lang w:val="en-US"/>
      </w:rPr>
      <w:fldChar w:fldCharType="end"/>
    </w:r>
  </w:p>
  <w:p w14:paraId="78C95B3D" w14:textId="77777777" w:rsidR="00B63F33" w:rsidRDefault="00B63F3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3F86E" w14:textId="77777777" w:rsidR="00B63F33" w:rsidRDefault="00B63F33">
    <w:pPr>
      <w:pStyle w:val="Header1"/>
    </w:pPr>
    <w:r>
      <w:tab/>
      <w:t>G-</w:t>
    </w:r>
    <w:r>
      <w:fldChar w:fldCharType="begin"/>
    </w:r>
    <w:r>
      <w:instrText>PAGE   \* MERGEFORMAT</w:instrText>
    </w:r>
    <w:r>
      <w:fldChar w:fldCharType="separate"/>
    </w:r>
    <w:r>
      <w:rPr>
        <w:noProof/>
      </w:rPr>
      <w:t>1</w:t>
    </w:r>
    <w:r>
      <w:fldChar w:fldCharType="end"/>
    </w:r>
  </w:p>
  <w:p w14:paraId="31CE63B0" w14:textId="77777777" w:rsidR="00B63F33" w:rsidRDefault="00B63F33">
    <w:pPr>
      <w:pStyle w:val="Header1"/>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19D17" w14:textId="217B91E9" w:rsidR="00C05EBD" w:rsidRDefault="00C05EBD">
    <w:pPr>
      <w:pStyle w:val="Footer"/>
      <w:rPr>
        <w:lang w:val="en-US"/>
      </w:rPr>
    </w:pPr>
    <w:r>
      <w:tab/>
    </w:r>
    <w:r>
      <w:rPr>
        <w:lang w:val="en-US"/>
      </w:rPr>
      <w:t>L-3-</w:t>
    </w:r>
    <w:r>
      <w:rPr>
        <w:lang w:val="en-US"/>
      </w:rPr>
      <w:fldChar w:fldCharType="begin"/>
    </w:r>
    <w:r>
      <w:rPr>
        <w:lang w:val="en-US"/>
      </w:rPr>
      <w:instrText>PAGE   \* MERGEFORMAT</w:instrText>
    </w:r>
    <w:r>
      <w:rPr>
        <w:lang w:val="en-US"/>
      </w:rPr>
      <w:fldChar w:fldCharType="separate"/>
    </w:r>
    <w:r>
      <w:rPr>
        <w:noProof/>
        <w:lang w:val="en-US"/>
      </w:rPr>
      <w:t>1</w:t>
    </w:r>
    <w:r>
      <w:rPr>
        <w:noProof/>
        <w:lang w:val="en-US"/>
      </w:rPr>
      <w:fldChar w:fldCharType="end"/>
    </w:r>
  </w:p>
  <w:p w14:paraId="79E451F8" w14:textId="77777777" w:rsidR="00C05EBD" w:rsidRDefault="00C05EB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0B285"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6FD5370" w14:textId="77777777" w:rsidR="00B63F33" w:rsidRDefault="00B63F33">
    <w:pPr>
      <w:pStyle w:val="Header1"/>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D1140" w14:textId="4E62AFB8" w:rsidR="00B63F33" w:rsidRDefault="00C05EBD">
    <w:pPr>
      <w:pStyle w:val="Footer"/>
      <w:jc w:val="center"/>
      <w:rPr>
        <w:lang w:val="en-US"/>
      </w:rPr>
    </w:pPr>
    <w:r>
      <w:rPr>
        <w:lang w:val="en-US"/>
      </w:rPr>
      <w:t>L-3</w:t>
    </w:r>
    <w:r w:rsidR="00B63F33">
      <w:rPr>
        <w:lang w:val="en-US"/>
      </w:rPr>
      <w:t>-</w:t>
    </w:r>
    <w:r w:rsidR="002B7809" w:rsidRPr="002B7809">
      <w:rPr>
        <w:lang w:val="en-US"/>
      </w:rPr>
      <w:fldChar w:fldCharType="begin"/>
    </w:r>
    <w:r w:rsidR="002B7809" w:rsidRPr="002B7809">
      <w:rPr>
        <w:lang w:val="en-US"/>
      </w:rPr>
      <w:instrText xml:space="preserve"> PAGE   \* MERGEFORMAT </w:instrText>
    </w:r>
    <w:r w:rsidR="002B7809" w:rsidRPr="002B7809">
      <w:rPr>
        <w:lang w:val="en-US"/>
      </w:rPr>
      <w:fldChar w:fldCharType="separate"/>
    </w:r>
    <w:r w:rsidR="002B7809" w:rsidRPr="002B7809">
      <w:rPr>
        <w:noProof/>
        <w:lang w:val="en-US"/>
      </w:rPr>
      <w:t>1</w:t>
    </w:r>
    <w:r w:rsidR="002B7809" w:rsidRPr="002B7809">
      <w:rPr>
        <w:noProof/>
        <w:lang w:val="en-US"/>
      </w:rPr>
      <w:fldChar w:fldCharType="end"/>
    </w:r>
  </w:p>
  <w:p w14:paraId="1FCBC85A" w14:textId="6B386A08" w:rsidR="00B63F33" w:rsidRPr="00691098" w:rsidRDefault="00B63F3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2B0EA" w14:textId="77777777" w:rsidR="00B63F33" w:rsidRDefault="00B63F33">
    <w:pPr>
      <w:pStyle w:val="Header1"/>
    </w:pPr>
    <w:r>
      <w:tab/>
      <w:t>G-</w:t>
    </w:r>
    <w:r>
      <w:fldChar w:fldCharType="begin"/>
    </w:r>
    <w:r>
      <w:instrText>PAGE   \* MERGEFORMAT</w:instrText>
    </w:r>
    <w:r>
      <w:fldChar w:fldCharType="separate"/>
    </w:r>
    <w:r>
      <w:rPr>
        <w:noProof/>
      </w:rPr>
      <w:t>5</w:t>
    </w:r>
    <w:r>
      <w:fldChar w:fldCharType="end"/>
    </w:r>
  </w:p>
  <w:p w14:paraId="2F99FE37" w14:textId="77777777" w:rsidR="00B63F33" w:rsidRDefault="00B63F33">
    <w:pPr>
      <w:pStyle w:val="Header1"/>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64A81"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034F61A" w14:textId="77777777" w:rsidR="00B63F33" w:rsidRDefault="00B63F33">
    <w:pPr>
      <w:pStyle w:val="Header1"/>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5664E" w14:textId="5961FBCF" w:rsidR="00B63F33" w:rsidRDefault="00C05EBD" w:rsidP="00994353">
    <w:pPr>
      <w:pStyle w:val="Footer"/>
      <w:jc w:val="center"/>
    </w:pPr>
    <w:r>
      <w:rPr>
        <w:lang w:val="en-US"/>
      </w:rPr>
      <w:t>M</w:t>
    </w:r>
    <w:r w:rsidR="00994353">
      <w:rPr>
        <w:lang w:val="en-US"/>
      </w:rPr>
      <w:t>-</w:t>
    </w:r>
    <w:r w:rsidR="00994353">
      <w:rPr>
        <w:lang w:val="en-US"/>
      </w:rPr>
      <w:fldChar w:fldCharType="begin"/>
    </w:r>
    <w:r w:rsidR="00994353">
      <w:rPr>
        <w:lang w:val="en-US"/>
      </w:rPr>
      <w:instrText>PAGE   \* MERGEFORMAT</w:instrText>
    </w:r>
    <w:r w:rsidR="00994353">
      <w:rPr>
        <w:lang w:val="en-US"/>
      </w:rPr>
      <w:fldChar w:fldCharType="separate"/>
    </w:r>
    <w:r w:rsidR="00994353">
      <w:rPr>
        <w:noProof/>
        <w:lang w:val="en-US"/>
      </w:rPr>
      <w:t>1</w:t>
    </w:r>
    <w:r w:rsidR="00994353">
      <w:rPr>
        <w:noProof/>
        <w:lang w:val="en-US"/>
      </w:rPr>
      <w:fldChar w:fldCharType="end"/>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9574B" w14:textId="77777777" w:rsidR="00B63F33" w:rsidRDefault="00B63F33">
    <w:pPr>
      <w:pStyle w:val="Header1"/>
    </w:pPr>
    <w:r>
      <w:tab/>
      <w:t>G-</w:t>
    </w:r>
    <w:r>
      <w:fldChar w:fldCharType="begin"/>
    </w:r>
    <w:r>
      <w:instrText>PAGE   \* MERGEFORMAT</w:instrText>
    </w:r>
    <w:r>
      <w:fldChar w:fldCharType="separate"/>
    </w:r>
    <w:r>
      <w:rPr>
        <w:noProof/>
      </w:rPr>
      <w:t>1</w:t>
    </w:r>
    <w:r>
      <w:fldChar w:fldCharType="end"/>
    </w:r>
  </w:p>
  <w:p w14:paraId="657688B9" w14:textId="77777777" w:rsidR="00B63F33" w:rsidRDefault="00B63F33">
    <w:pPr>
      <w:pStyle w:val="Header1"/>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84B41" w14:textId="77777777" w:rsidR="00B63F33" w:rsidRDefault="00B63F33">
    <w:pPr>
      <w:pStyle w:val="Header1"/>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19BAF44" w14:textId="77777777" w:rsidR="00B63F33" w:rsidRDefault="00B63F33">
    <w:pPr>
      <w:pStyle w:val="Header1"/>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9163D" w14:textId="0D0E1126" w:rsidR="00994353" w:rsidRDefault="00C05EBD" w:rsidP="00994353">
    <w:pPr>
      <w:pStyle w:val="Footer"/>
      <w:jc w:val="center"/>
    </w:pPr>
    <w:r>
      <w:rPr>
        <w:lang w:val="en-US"/>
      </w:rPr>
      <w:t>N</w:t>
    </w:r>
    <w:r w:rsidR="00994353">
      <w:rPr>
        <w:lang w:val="en-US"/>
      </w:rPr>
      <w:t>-</w:t>
    </w:r>
    <w:r w:rsidR="00994353">
      <w:rPr>
        <w:lang w:val="en-US"/>
      </w:rPr>
      <w:fldChar w:fldCharType="begin"/>
    </w:r>
    <w:r w:rsidR="00994353">
      <w:rPr>
        <w:lang w:val="en-US"/>
      </w:rPr>
      <w:instrText>PAGE   \* MERGEFORMAT</w:instrText>
    </w:r>
    <w:r w:rsidR="00994353">
      <w:rPr>
        <w:lang w:val="en-US"/>
      </w:rPr>
      <w:fldChar w:fldCharType="separate"/>
    </w:r>
    <w:r w:rsidR="00994353">
      <w:rPr>
        <w:noProof/>
        <w:lang w:val="en-US"/>
      </w:rPr>
      <w:t>1</w:t>
    </w:r>
    <w:r w:rsidR="00994353">
      <w:rPr>
        <w:noProof/>
        <w:lang w:val="en-US"/>
      </w:rPr>
      <w:fldChar w:fldCharType="end"/>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15C76" w14:textId="77777777" w:rsidR="00B63F33" w:rsidRDefault="00B63F33">
    <w:pPr>
      <w:pStyle w:val="Header1"/>
    </w:pPr>
    <w:r>
      <w:tab/>
      <w:t>G-</w:t>
    </w:r>
    <w:r>
      <w:fldChar w:fldCharType="begin"/>
    </w:r>
    <w:r>
      <w:instrText>PAGE   \* MERGEFORMAT</w:instrText>
    </w:r>
    <w:r>
      <w:fldChar w:fldCharType="separate"/>
    </w:r>
    <w:r>
      <w:rPr>
        <w:noProof/>
      </w:rPr>
      <w:t>1</w:t>
    </w:r>
    <w:r>
      <w:fldChar w:fldCharType="end"/>
    </w:r>
  </w:p>
  <w:p w14:paraId="38950DE2" w14:textId="77777777" w:rsidR="00B63F33" w:rsidRDefault="00B63F33">
    <w:pPr>
      <w:pStyle w:val="Header1"/>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8C25" w14:textId="423CB1B7" w:rsidR="00003364" w:rsidRDefault="00C05EBD" w:rsidP="002B7809">
    <w:pPr>
      <w:jc w:val="center"/>
    </w:pPr>
    <w:r>
      <w:t>O</w:t>
    </w:r>
    <w:r w:rsidR="002B7809">
      <w:t>-</w:t>
    </w:r>
    <w:r w:rsidR="002B7809">
      <w:fldChar w:fldCharType="begin"/>
    </w:r>
    <w:r w:rsidR="002B7809">
      <w:instrText xml:space="preserve"> PAGE   \* MERGEFORMAT </w:instrText>
    </w:r>
    <w:r w:rsidR="002B7809">
      <w:fldChar w:fldCharType="separate"/>
    </w:r>
    <w:r w:rsidR="002B7809">
      <w:rPr>
        <w:noProof/>
      </w:rPr>
      <w:t>1</w:t>
    </w:r>
    <w:r w:rsidR="002B7809">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D3BEB" w14:textId="77777777" w:rsidR="00AA367E" w:rsidRDefault="00AA367E">
      <w:pPr>
        <w:rPr>
          <w:noProof/>
        </w:rPr>
      </w:pPr>
      <w:r>
        <w:rPr>
          <w:noProof/>
        </w:rPr>
        <w:separator/>
      </w:r>
    </w:p>
    <w:p w14:paraId="4AC06DED" w14:textId="77777777" w:rsidR="00AA367E" w:rsidRDefault="00AA367E">
      <w:pPr>
        <w:rPr>
          <w:noProof/>
        </w:rPr>
      </w:pPr>
    </w:p>
  </w:footnote>
  <w:footnote w:type="continuationSeparator" w:id="0">
    <w:p w14:paraId="40CE27F3" w14:textId="77777777" w:rsidR="00AA367E" w:rsidRDefault="00AA367E">
      <w:r>
        <w:continuationSeparator/>
      </w:r>
    </w:p>
    <w:p w14:paraId="3FDF7B2E" w14:textId="77777777" w:rsidR="00AA367E" w:rsidRDefault="00AA367E"/>
  </w:footnote>
  <w:footnote w:type="continuationNotice" w:id="1">
    <w:p w14:paraId="48F689D3" w14:textId="77777777" w:rsidR="00AA367E" w:rsidRDefault="00AA36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1D438" w14:textId="77777777" w:rsidR="00B63F33" w:rsidRDefault="00B63F33">
    <w:pPr>
      <w:tabs>
        <w:tab w:val="center" w:pos="468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DD9DA" w14:textId="77777777" w:rsidR="00B63F33" w:rsidRDefault="00B63F33">
    <w:pPr>
      <w:tabs>
        <w:tab w:val="center" w:pos="468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F6237" w14:textId="405F6C53" w:rsidR="00B63F33" w:rsidRDefault="001E78F9">
    <w:pPr>
      <w:pStyle w:val="Header"/>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p w14:paraId="7807B4F7" w14:textId="77777777" w:rsidR="00B63F33" w:rsidRDefault="00B63F33">
    <w:pPr>
      <w:spacing w:after="240"/>
      <w:jc w:val="right"/>
      <w:rPr>
        <w: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4C67E" w14:textId="77777777" w:rsidR="00B63F33" w:rsidRDefault="00B63F3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3F066" w14:textId="77777777" w:rsidR="00B63F33" w:rsidRDefault="00B63F33">
    <w:pPr>
      <w:tabs>
        <w:tab w:val="center" w:pos="4680"/>
        <w:tab w:val="right" w:pos="9360"/>
      </w:tabs>
      <w:jc w:val="right"/>
      <w:rPr>
        <w:b/>
        <w:i/>
      </w:rPr>
    </w:pPr>
  </w:p>
  <w:p w14:paraId="282A7D01" w14:textId="77777777" w:rsidR="00B63F33" w:rsidRDefault="00B63F33">
    <w:pPr>
      <w:spacing w:after="240"/>
      <w:jc w:val="right"/>
      <w:rPr>
        <w:b/>
        <w:i/>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AE650" w14:textId="3E3BEA54" w:rsidR="00B63F33" w:rsidRDefault="000D1B06">
    <w:pPr>
      <w:pStyle w:val="Header"/>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F1FC4" w14:textId="77777777" w:rsidR="00B63F33" w:rsidRDefault="00B63F33">
    <w:pPr>
      <w:pStyle w:val="Header1"/>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3AA61" w14:textId="2B554C5B" w:rsidR="00B63F33" w:rsidRPr="008142EC" w:rsidRDefault="008142EC" w:rsidP="008142EC">
    <w:pPr>
      <w:pStyle w:val="Header"/>
      <w:jc w:val="center"/>
      <w:rPr>
        <w:b/>
        <w:sz w:val="20"/>
        <w:szCs w:val="20"/>
        <w:lang w:val="en-US"/>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6BDA9"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2DEC5" w14:textId="77777777" w:rsidR="00B63F33" w:rsidRDefault="00B63F33">
    <w:pPr>
      <w:pStyle w:val="Header1"/>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BE146" w14:textId="5BC9E6B2" w:rsidR="00B63F33" w:rsidRDefault="008D4431">
    <w:pPr>
      <w:pStyle w:val="Header1"/>
      <w:jc w:val="center"/>
      <w:rPr>
        <w:b/>
        <w:sz w:val="20"/>
        <w:szCs w:val="20"/>
      </w:rPr>
    </w:pPr>
    <w:r>
      <w:rPr>
        <w:b/>
        <w:sz w:val="20"/>
        <w:szCs w:val="20"/>
        <w:lang w:val="en-US"/>
      </w:rPr>
      <w:t xml:space="preserve">NSP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740AE"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875B7" w14:textId="77777777" w:rsidR="00B63F33" w:rsidRDefault="00B63F33">
    <w:pPr>
      <w:pStyle w:val="Header1"/>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615C4" w14:textId="31EB730A" w:rsidR="00B63F33" w:rsidRDefault="008D4431">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19EC8"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EFAC5" w14:textId="77777777" w:rsidR="00B63F33" w:rsidRDefault="00B63F33">
    <w:pPr>
      <w:pStyle w:val="Header1"/>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ED9D4" w14:textId="650777F5" w:rsidR="00B63F33" w:rsidRDefault="008D4431">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4CC69"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2302A" w14:textId="77777777" w:rsidR="00B63F33" w:rsidRDefault="00B63F33">
    <w:pPr>
      <w:pStyle w:val="Header1"/>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02949" w14:textId="4630A6CE" w:rsidR="00B63F33" w:rsidRDefault="008D4431">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588D4"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4C386" w14:textId="77777777" w:rsidR="00B63F33" w:rsidRDefault="00B63F33">
    <w:pPr>
      <w:pStyle w:val="Header1"/>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526D7" w14:textId="77777777" w:rsidR="00B63F33" w:rsidRDefault="0058382B">
    <w:pPr>
      <w:pStyle w:val="Header1"/>
      <w:jc w:val="center"/>
      <w:rPr>
        <w:b/>
        <w:sz w:val="20"/>
        <w:szCs w:val="20"/>
      </w:rPr>
    </w:pPr>
    <w:r>
      <w:rPr>
        <w:b/>
        <w:sz w:val="20"/>
        <w:szCs w:val="20"/>
        <w:lang w:val="en-US"/>
      </w:rPr>
      <w:t xml:space="preserve">All OpCo </w:t>
    </w:r>
    <w:r>
      <w:rPr>
        <w:b/>
        <w:sz w:val="20"/>
        <w:szCs w:val="20"/>
      </w:rPr>
      <w:t>Model [</w:t>
    </w:r>
    <w:r>
      <w:rPr>
        <w:b/>
        <w:sz w:val="20"/>
        <w:szCs w:val="20"/>
        <w:highlight w:val="yellow"/>
      </w:rPr>
      <w:t>Wind</w:t>
    </w:r>
    <w:r>
      <w:rPr>
        <w:b/>
        <w:sz w:val="20"/>
        <w:szCs w:val="20"/>
      </w:rPr>
      <w:t>] [</w:t>
    </w:r>
    <w:r>
      <w:rPr>
        <w:b/>
        <w:sz w:val="20"/>
        <w:szCs w:val="20"/>
        <w:highlight w:val="yellow"/>
      </w:rPr>
      <w:t>Solar</w:t>
    </w:r>
    <w:r>
      <w:rPr>
        <w:b/>
        <w:sz w:val="20"/>
        <w:szCs w:val="20"/>
      </w:rPr>
      <w:t>] Energy Purchase Agreement</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9AAFF"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F6380" w14:textId="77777777" w:rsidR="00B63F33" w:rsidRDefault="00B63F33">
    <w:pPr>
      <w:pStyle w:val="Header1"/>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3DD8C" w14:textId="13CA069B" w:rsidR="00B63F33" w:rsidRDefault="008D4431">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0EA49"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5E1A9" w14:textId="77777777" w:rsidR="00B63F33" w:rsidRDefault="00B63F33">
    <w:pPr>
      <w:pStyle w:val="Header1"/>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A8392" w14:textId="77777777" w:rsidR="00B63F33" w:rsidRDefault="0058382B">
    <w:pPr>
      <w:pStyle w:val="Header1"/>
      <w:jc w:val="center"/>
      <w:rPr>
        <w:b/>
        <w:sz w:val="20"/>
        <w:szCs w:val="20"/>
      </w:rPr>
    </w:pPr>
    <w:r>
      <w:rPr>
        <w:b/>
        <w:sz w:val="20"/>
        <w:szCs w:val="20"/>
        <w:lang w:val="en-US"/>
      </w:rPr>
      <w:t xml:space="preserve">All OpCo </w:t>
    </w:r>
    <w:r>
      <w:rPr>
        <w:b/>
        <w:sz w:val="20"/>
        <w:szCs w:val="20"/>
      </w:rPr>
      <w:t>Model [</w:t>
    </w:r>
    <w:r>
      <w:rPr>
        <w:b/>
        <w:sz w:val="20"/>
        <w:szCs w:val="20"/>
        <w:highlight w:val="yellow"/>
      </w:rPr>
      <w:t>Wind</w:t>
    </w:r>
    <w:r>
      <w:rPr>
        <w:b/>
        <w:sz w:val="20"/>
        <w:szCs w:val="20"/>
      </w:rPr>
      <w:t>] [</w:t>
    </w:r>
    <w:r>
      <w:rPr>
        <w:b/>
        <w:sz w:val="20"/>
        <w:szCs w:val="20"/>
        <w:highlight w:val="yellow"/>
      </w:rPr>
      <w:t>Solar</w:t>
    </w:r>
    <w:r>
      <w:rPr>
        <w:b/>
        <w:sz w:val="20"/>
        <w:szCs w:val="20"/>
      </w:rPr>
      <w:t>] Energy Purchase Agreement</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3458A"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0EA9" w14:textId="77777777" w:rsidR="00B63F33" w:rsidRDefault="00B63F33">
    <w:pPr>
      <w:pStyle w:val="Header1"/>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6236F" w14:textId="5D29840E" w:rsidR="00B63F33" w:rsidRDefault="008D4431">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7D5E8"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23D66" w14:textId="77777777" w:rsidR="00B63F33" w:rsidRDefault="00B63F33">
    <w:pPr>
      <w:pStyle w:val="Header1"/>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74900" w14:textId="369FE428" w:rsidR="00B63F33" w:rsidRDefault="00362241">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610EB"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6A3DF" w14:textId="77777777" w:rsidR="00B63F33" w:rsidRDefault="00B63F33">
    <w:pPr>
      <w:pStyle w:val="Header1"/>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25088" w14:textId="2EA20F83" w:rsidR="00B63F33" w:rsidRDefault="00362241">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5964E"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1A2C3" w14:textId="77777777" w:rsidR="00B63F33" w:rsidRDefault="00B63F33">
    <w:pPr>
      <w:pStyle w:val="Header1"/>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3B146" w14:textId="7761DFD2" w:rsidR="00B63F33" w:rsidRDefault="00362241">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46D03"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42543" w14:textId="77777777" w:rsidR="00B63F33" w:rsidRDefault="00B63F33">
    <w:pPr>
      <w:pStyle w:val="Header1"/>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20ADA" w14:textId="5803C289" w:rsidR="00B63F33" w:rsidRDefault="00653266">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7F255"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7DCC4" w14:textId="77777777" w:rsidR="00B63F33" w:rsidRDefault="00B63F33">
    <w:pPr>
      <w:pStyle w:val="Header1"/>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12392"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B950" w14:textId="77777777" w:rsidR="00B63F33" w:rsidRDefault="00B63F33">
    <w:pPr>
      <w:pStyle w:val="Header1"/>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5F536" w14:textId="49A6700E" w:rsidR="00B63F33" w:rsidRDefault="00653266">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6AA08"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F036" w14:textId="77777777" w:rsidR="00B63F33" w:rsidRDefault="00B63F33">
    <w:pPr>
      <w:pStyle w:val="Header1"/>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CDC65" w14:textId="653A831C" w:rsidR="00B63F33" w:rsidRDefault="00653266">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F4340"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19CC0" w14:textId="77777777" w:rsidR="00B63F33" w:rsidRDefault="00B63F33">
    <w:pPr>
      <w:pStyle w:val="Header1"/>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CB3BA" w14:textId="3A0FA0B5" w:rsidR="00B63F33" w:rsidRDefault="00653266">
    <w:pPr>
      <w:pStyle w:val="Header1"/>
      <w:jc w:val="center"/>
      <w:rPr>
        <w:b/>
        <w:sz w:val="20"/>
        <w:szCs w:val="20"/>
      </w:rPr>
    </w:pPr>
    <w:r>
      <w:rPr>
        <w:b/>
        <w:sz w:val="20"/>
        <w:szCs w:val="20"/>
        <w:lang w:val="en-US"/>
      </w:rPr>
      <w:t>NSP</w:t>
    </w:r>
    <w:r w:rsidR="0058382B">
      <w:rPr>
        <w:b/>
        <w:sz w:val="20"/>
        <w:szCs w:val="20"/>
        <w:lang w:val="en-US"/>
      </w:rPr>
      <w:t xml:space="preserve"> </w:t>
    </w:r>
    <w:r w:rsidR="0058382B">
      <w:rPr>
        <w:b/>
        <w:sz w:val="20"/>
        <w:szCs w:val="20"/>
      </w:rPr>
      <w:t>Model [</w:t>
    </w:r>
    <w:r w:rsidR="0058382B">
      <w:rPr>
        <w:b/>
        <w:sz w:val="20"/>
        <w:szCs w:val="20"/>
        <w:highlight w:val="yellow"/>
      </w:rPr>
      <w:t>Wind</w:t>
    </w:r>
    <w:r w:rsidR="0058382B">
      <w:rPr>
        <w:b/>
        <w:sz w:val="20"/>
        <w:szCs w:val="20"/>
      </w:rPr>
      <w:t>] [</w:t>
    </w:r>
    <w:r w:rsidR="0058382B">
      <w:rPr>
        <w:b/>
        <w:sz w:val="20"/>
        <w:szCs w:val="20"/>
        <w:highlight w:val="yellow"/>
      </w:rPr>
      <w:t>Solar</w:t>
    </w:r>
    <w:r w:rsidR="0058382B">
      <w:rPr>
        <w:b/>
        <w:sz w:val="20"/>
        <w:szCs w:val="20"/>
      </w:rPr>
      <w:t>] Energy Purchase Agreement</w: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BF723" w14:textId="77777777" w:rsidR="00B63F33" w:rsidRDefault="000D1B06">
    <w:pPr>
      <w:pStyle w:val="Header1"/>
      <w:tabs>
        <w:tab w:val="clear" w:pos="4680"/>
        <w:tab w:val="clear" w:pos="9360"/>
      </w:tabs>
      <w:jc w:val="center"/>
      <w:rPr>
        <w:b/>
        <w:sz w:val="20"/>
        <w:szCs w:val="20"/>
      </w:rPr>
    </w:pPr>
    <w:r>
      <w:rPr>
        <w:b/>
        <w:sz w:val="20"/>
        <w:szCs w:val="20"/>
        <w:lang w:val="en-US"/>
      </w:rPr>
      <w:t xml:space="preserve">Northern States Power Company Minnesota </w:t>
    </w:r>
    <w:r>
      <w:rPr>
        <w:b/>
        <w:sz w:val="20"/>
        <w:szCs w:val="20"/>
      </w:rPr>
      <w:t>Model [Wind] [Solar] Energy Purchase Agreement</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001EF" w14:textId="77777777" w:rsidR="00003364" w:rsidRDefault="0000336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18CF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484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BC966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2684C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CF4C2C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D2ED8A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7A82AB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C47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E3A051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5E81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pStyle w:val="Level1"/>
      <w:lvlText w:val="%1."/>
      <w:lvlJc w:val="left"/>
      <w:pPr>
        <w:ind w:firstLine="1440"/>
      </w:pPr>
      <w:rPr>
        <w:rFonts w:ascii="Times New Roman" w:hAnsi="Times New Roman"/>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pStyle w:val="Level5"/>
      <w:lvlText w:val="(%5)"/>
      <w:lvlJc w:val="left"/>
      <w:pPr>
        <w:ind w:firstLine="2160"/>
      </w:pPr>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1" w15:restartNumberingAfterBreak="0">
    <w:nsid w:val="0000000D"/>
    <w:multiLevelType w:val="multilevel"/>
    <w:tmpl w:val="9AAC352A"/>
    <w:name w:val="zzmpBylaws||Bylaws|2|1|1|0|0|41||1|0|1||1|0|1||1|0|0||1|0|0||mpNA||mpNA||mpNA||mpNA||"/>
    <w:lvl w:ilvl="0">
      <w:start w:val="1"/>
      <w:numFmt w:val="upperRoman"/>
      <w:lvlRestart w:val="0"/>
      <w:pStyle w:val="BylawsL1"/>
      <w:suff w:val="nothing"/>
      <w:lvlText w:val="ARTICLE %1 - "/>
      <w:lvlJc w:val="left"/>
      <w:pPr>
        <w:tabs>
          <w:tab w:val="num" w:pos="0"/>
        </w:tabs>
      </w:pPr>
      <w:rPr>
        <w:rFonts w:ascii="Times New Roman" w:eastAsia="Times New Roman" w:hAnsi="Times New Roman" w:cs="Times New Roman"/>
        <w:b/>
        <w:i w:val="0"/>
        <w:caps/>
        <w:smallCaps w:val="0"/>
        <w:color w:val="auto"/>
        <w:spacing w:val="0"/>
        <w:sz w:val="24"/>
        <w:u w:val="none"/>
      </w:rPr>
    </w:lvl>
    <w:lvl w:ilvl="1">
      <w:start w:val="1"/>
      <w:numFmt w:val="decimal"/>
      <w:lvlRestart w:val="0"/>
      <w:pStyle w:val="BylawsL2"/>
      <w:isLgl/>
      <w:lvlText w:val="%1.%2"/>
      <w:lvlJc w:val="left"/>
      <w:pPr>
        <w:tabs>
          <w:tab w:val="num" w:pos="720"/>
        </w:tabs>
        <w:ind w:left="720" w:hanging="720"/>
      </w:pPr>
      <w:rPr>
        <w:rFonts w:ascii="Times New Roman" w:eastAsia="Times New Roman" w:hAnsi="Times New Roman" w:cs="Times New Roman"/>
        <w:b/>
        <w:i w:val="0"/>
        <w:caps w:val="0"/>
        <w:smallCaps w:val="0"/>
        <w:color w:val="auto"/>
        <w:spacing w:val="0"/>
        <w:sz w:val="24"/>
        <w:u w:val="none"/>
      </w:rPr>
    </w:lvl>
    <w:lvl w:ilvl="2">
      <w:start w:val="1"/>
      <w:numFmt w:val="lowerLetter"/>
      <w:pStyle w:val="BylawsL3"/>
      <w:lvlText w:val="(%3)"/>
      <w:lvlJc w:val="left"/>
      <w:pPr>
        <w:tabs>
          <w:tab w:val="num" w:pos="1440"/>
        </w:tabs>
        <w:ind w:left="720"/>
      </w:pPr>
      <w:rPr>
        <w:rFonts w:ascii="Times New Roman" w:eastAsia="Times New Roman" w:hAnsi="Times New Roman" w:cs="Times New Roman"/>
        <w:b w:val="0"/>
        <w:i w:val="0"/>
        <w:caps w:val="0"/>
        <w:smallCaps w:val="0"/>
        <w:color w:val="auto"/>
        <w:spacing w:val="0"/>
        <w:sz w:val="24"/>
        <w:u w:val="none"/>
      </w:rPr>
    </w:lvl>
    <w:lvl w:ilvl="3">
      <w:start w:val="1"/>
      <w:numFmt w:val="lowerRoman"/>
      <w:pStyle w:val="BylawsL4"/>
      <w:lvlText w:val="(%4)"/>
      <w:lvlJc w:val="left"/>
      <w:pPr>
        <w:tabs>
          <w:tab w:val="num" w:pos="2160"/>
        </w:tabs>
        <w:ind w:left="1440"/>
      </w:pPr>
      <w:rPr>
        <w:rFonts w:ascii="Times New Roman" w:eastAsia="Times New Roman" w:hAnsi="Times New Roman" w:cs="Times New Roman"/>
        <w:b w:val="0"/>
        <w:i w:val="0"/>
        <w:caps w:val="0"/>
        <w:smallCaps w:val="0"/>
        <w:color w:val="auto"/>
        <w:spacing w:val="0"/>
        <w:sz w:val="24"/>
        <w:u w:val="none"/>
      </w:rPr>
    </w:lvl>
    <w:lvl w:ilvl="4">
      <w:start w:val="1"/>
      <w:numFmt w:val="lowerRoman"/>
      <w:pStyle w:val="BylawsL5"/>
      <w:lvlText w:val="(%5)"/>
      <w:lvlJc w:val="left"/>
      <w:pPr>
        <w:tabs>
          <w:tab w:val="num" w:pos="3600"/>
        </w:tabs>
        <w:ind w:firstLine="2880"/>
      </w:pPr>
      <w:rPr>
        <w:rFonts w:ascii="Times New Roman" w:eastAsia="Times New Roman" w:hAnsi="Times New Roman" w:cs="Times New Roman"/>
        <w:b w:val="0"/>
        <w:i w:val="0"/>
        <w:caps w:val="0"/>
        <w:smallCaps w:val="0"/>
        <w:color w:val="auto"/>
        <w:spacing w:val="0"/>
        <w:sz w:val="24"/>
        <w:u w:val="none"/>
      </w:rPr>
    </w:lvl>
    <w:lvl w:ilvl="5">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6">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7">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8">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abstractNum>
  <w:abstractNum w:abstractNumId="12" w15:restartNumberingAfterBreak="0">
    <w:nsid w:val="00000023"/>
    <w:multiLevelType w:val="multilevel"/>
    <w:tmpl w:val="32AEC368"/>
    <w:lvl w:ilvl="0">
      <w:start w:val="1"/>
      <w:numFmt w:val="decimal"/>
      <w:pStyle w:val="MT1"/>
      <w:lvlText w:val="%1."/>
      <w:lvlJc w:val="left"/>
      <w:pPr>
        <w:tabs>
          <w:tab w:val="num" w:pos="720"/>
        </w:tabs>
        <w:ind w:left="720" w:hanging="720"/>
      </w:pPr>
      <w:rPr>
        <w:rFonts w:hint="eastAsia"/>
        <w:spacing w:val="0"/>
      </w:rPr>
    </w:lvl>
    <w:lvl w:ilvl="1">
      <w:start w:val="1"/>
      <w:numFmt w:val="lowerLetter"/>
      <w:pStyle w:val="MT2"/>
      <w:lvlText w:val="(%2)"/>
      <w:lvlJc w:val="left"/>
      <w:pPr>
        <w:tabs>
          <w:tab w:val="num" w:pos="1440"/>
        </w:tabs>
        <w:ind w:left="1440" w:hanging="720"/>
      </w:pPr>
      <w:rPr>
        <w:rFonts w:hint="eastAsia"/>
        <w:spacing w:val="0"/>
      </w:rPr>
    </w:lvl>
    <w:lvl w:ilvl="2">
      <w:start w:val="1"/>
      <w:numFmt w:val="lowerRoman"/>
      <w:pStyle w:val="MT3"/>
      <w:lvlText w:val="(%3)"/>
      <w:lvlJc w:val="left"/>
      <w:pPr>
        <w:tabs>
          <w:tab w:val="num" w:pos="2160"/>
        </w:tabs>
        <w:ind w:left="2160" w:hanging="720"/>
      </w:pPr>
      <w:rPr>
        <w:rFonts w:hint="eastAsia"/>
        <w:spacing w:val="0"/>
      </w:rPr>
    </w:lvl>
    <w:lvl w:ilvl="3">
      <w:start w:val="1"/>
      <w:numFmt w:val="lowerRoman"/>
      <w:pStyle w:val="MT4"/>
      <w:lvlText w:val="(%4)"/>
      <w:lvlJc w:val="left"/>
      <w:pPr>
        <w:tabs>
          <w:tab w:val="num" w:pos="2880"/>
        </w:tabs>
        <w:ind w:left="2880" w:hanging="720"/>
      </w:pPr>
      <w:rPr>
        <w:rFonts w:hint="eastAsia"/>
        <w:b w:val="0"/>
        <w:spacing w:val="0"/>
      </w:rPr>
    </w:lvl>
    <w:lvl w:ilvl="4">
      <w:start w:val="1"/>
      <w:numFmt w:val="lowerLetter"/>
      <w:pStyle w:val="MT5"/>
      <w:lvlText w:val="%5)"/>
      <w:lvlJc w:val="left"/>
      <w:pPr>
        <w:tabs>
          <w:tab w:val="num" w:pos="3600"/>
        </w:tabs>
        <w:ind w:left="3600" w:hanging="720"/>
      </w:pPr>
      <w:rPr>
        <w:rFonts w:hint="eastAsia"/>
        <w:spacing w:val="0"/>
      </w:rPr>
    </w:lvl>
    <w:lvl w:ilvl="5">
      <w:start w:val="1"/>
      <w:numFmt w:val="lowerRoman"/>
      <w:pStyle w:val="MT6"/>
      <w:lvlText w:val="%6)"/>
      <w:lvlJc w:val="left"/>
      <w:pPr>
        <w:tabs>
          <w:tab w:val="num" w:pos="4320"/>
        </w:tabs>
        <w:ind w:left="4320" w:hanging="720"/>
      </w:pPr>
      <w:rPr>
        <w:rFonts w:hint="eastAsia"/>
        <w:spacing w:val="0"/>
      </w:rPr>
    </w:lvl>
    <w:lvl w:ilvl="6">
      <w:start w:val="1"/>
      <w:numFmt w:val="upperLetter"/>
      <w:pStyle w:val="MT7"/>
      <w:lvlText w:val="%7)"/>
      <w:lvlJc w:val="left"/>
      <w:pPr>
        <w:tabs>
          <w:tab w:val="num" w:pos="4320"/>
        </w:tabs>
        <w:ind w:left="4320" w:hanging="720"/>
      </w:pPr>
      <w:rPr>
        <w:rFonts w:hint="eastAsia"/>
        <w:spacing w:val="0"/>
      </w:rPr>
    </w:lvl>
    <w:lvl w:ilvl="7">
      <w:start w:val="1"/>
      <w:numFmt w:val="lowerLetter"/>
      <w:pStyle w:val="MT8"/>
      <w:lvlText w:val="%8."/>
      <w:lvlJc w:val="left"/>
      <w:pPr>
        <w:tabs>
          <w:tab w:val="num" w:pos="4320"/>
        </w:tabs>
        <w:ind w:left="4320" w:hanging="720"/>
      </w:pPr>
      <w:rPr>
        <w:rFonts w:hint="eastAsia"/>
        <w:spacing w:val="0"/>
      </w:rPr>
    </w:lvl>
    <w:lvl w:ilvl="8">
      <w:start w:val="1"/>
      <w:numFmt w:val="lowerRoman"/>
      <w:pStyle w:val="MT9"/>
      <w:lvlText w:val="%9."/>
      <w:lvlJc w:val="left"/>
      <w:pPr>
        <w:tabs>
          <w:tab w:val="num" w:pos="4320"/>
        </w:tabs>
        <w:ind w:left="4320" w:hanging="720"/>
      </w:pPr>
      <w:rPr>
        <w:rFonts w:hint="eastAsia"/>
        <w:spacing w:val="0"/>
      </w:rPr>
    </w:lvl>
  </w:abstractNum>
  <w:abstractNum w:abstractNumId="13" w15:restartNumberingAfterBreak="0">
    <w:nsid w:val="00FEF01B"/>
    <w:multiLevelType w:val="multilevel"/>
    <w:tmpl w:val="ADAAED2E"/>
    <w:name w:val="HeadingStyles||Heading|3|3|0|1|0|33||1|0|34||1|0|33||1|0|33||1|0|35||1|0|33||1|0|32||1|0|34||1|0|32||"/>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4" w15:restartNumberingAfterBreak="0">
    <w:nsid w:val="00FEF029"/>
    <w:multiLevelType w:val="multilevel"/>
    <w:tmpl w:val="0A86FB8A"/>
    <w:name w:val="HeadingStyles||Heading|3|3|0|1|0|33||1|0|34||1|0|33||1|0|33||1|0|35||1|0|33||1|0|32||1|0|34||1|0|32||"/>
    <w:lvl w:ilvl="0">
      <w:start w:val="1"/>
      <w:numFmt w:val="upperRoman"/>
      <w:lvlText w:val="Article %1."/>
      <w:lvlJc w:val="left"/>
      <w:pPr>
        <w:tabs>
          <w:tab w:val="num" w:pos="1440"/>
        </w:tabs>
        <w:ind w:left="0" w:firstLine="0"/>
      </w:pPr>
    </w:lvl>
    <w:lvl w:ilvl="1">
      <w:start w:val="2"/>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5" w15:restartNumberingAfterBreak="0">
    <w:nsid w:val="01664670"/>
    <w:multiLevelType w:val="multilevel"/>
    <w:tmpl w:val="66FAFBAE"/>
    <w:name w:val="HeadingStyles||Heading|3|3|0|1|0|33||1|0|34||1|0|33||1|0|33||1|0|35||1|0|33||1|0|32||1|0|34||1|0|32||"/>
    <w:styleLink w:val="ArticleSection"/>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08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6" w15:restartNumberingAfterBreak="0">
    <w:nsid w:val="0EB27B73"/>
    <w:multiLevelType w:val="multilevel"/>
    <w:tmpl w:val="51466BC2"/>
    <w:styleLink w:val="111111"/>
    <w:lvl w:ilvl="0">
      <w:start w:val="1"/>
      <w:numFmt w:val="decimal"/>
      <w:suff w:val="space"/>
      <w:lvlText w:val="Article %1 -"/>
      <w:lvlJc w:val="left"/>
      <w:pPr>
        <w:tabs>
          <w:tab w:val="num" w:pos="2160"/>
        </w:tabs>
        <w:ind w:left="1440" w:firstLine="0"/>
      </w:pPr>
      <w:rPr>
        <w:b/>
        <w:i w:val="0"/>
        <w:caps w:val="0"/>
        <w:smallCaps w:val="0"/>
        <w:color w:val="auto"/>
        <w:u w:val="none"/>
      </w:rPr>
    </w:lvl>
    <w:lvl w:ilvl="1">
      <w:start w:val="1"/>
      <w:numFmt w:val="decimal"/>
      <w:lvlText w:val="%1.%2"/>
      <w:lvlJc w:val="left"/>
      <w:pPr>
        <w:tabs>
          <w:tab w:val="num" w:pos="2880"/>
        </w:tabs>
        <w:ind w:left="1440" w:firstLine="720"/>
      </w:pPr>
      <w:rPr>
        <w:b w:val="0"/>
        <w:i w:val="0"/>
        <w:caps w:val="0"/>
        <w:u w:val="none"/>
      </w:rPr>
    </w:lvl>
    <w:lvl w:ilvl="2">
      <w:start w:val="1"/>
      <w:numFmt w:val="upperLetter"/>
      <w:lvlText w:val="(%3)"/>
      <w:lvlJc w:val="left"/>
      <w:pPr>
        <w:tabs>
          <w:tab w:val="num" w:pos="3460"/>
        </w:tabs>
        <w:ind w:left="1300" w:firstLine="1440"/>
      </w:pPr>
      <w:rPr>
        <w:b w:val="0"/>
        <w:i w:val="0"/>
        <w:caps w:val="0"/>
        <w:u w:val="none"/>
      </w:rPr>
    </w:lvl>
    <w:lvl w:ilvl="3">
      <w:start w:val="1"/>
      <w:numFmt w:val="decimal"/>
      <w:lvlText w:val="%4."/>
      <w:lvlJc w:val="left"/>
      <w:pPr>
        <w:tabs>
          <w:tab w:val="num" w:pos="4320"/>
        </w:tabs>
        <w:ind w:left="4320" w:hanging="720"/>
      </w:pPr>
      <w:rPr>
        <w:b w:val="0"/>
        <w:i w:val="0"/>
        <w:caps w:val="0"/>
        <w:u w:val="none"/>
      </w:rPr>
    </w:lvl>
    <w:lvl w:ilvl="4">
      <w:start w:val="1"/>
      <w:numFmt w:val="decimal"/>
      <w:lvlText w:val="(%5)"/>
      <w:lvlJc w:val="left"/>
      <w:pPr>
        <w:tabs>
          <w:tab w:val="num" w:pos="4320"/>
        </w:tabs>
        <w:ind w:left="1440" w:firstLine="2160"/>
      </w:pPr>
      <w:rPr>
        <w:b w:val="0"/>
        <w:i w:val="0"/>
        <w:caps w:val="0"/>
        <w:u w:val="none"/>
      </w:rPr>
    </w:lvl>
    <w:lvl w:ilvl="5">
      <w:start w:val="1"/>
      <w:numFmt w:val="decimal"/>
      <w:lvlText w:val="(%6)"/>
      <w:lvlJc w:val="left"/>
      <w:pPr>
        <w:tabs>
          <w:tab w:val="num" w:pos="5760"/>
        </w:tabs>
        <w:ind w:left="1440" w:firstLine="3600"/>
      </w:pPr>
      <w:rPr>
        <w:b w:val="0"/>
        <w:i w:val="0"/>
        <w:caps w:val="0"/>
        <w:u w:val="none"/>
      </w:rPr>
    </w:lvl>
    <w:lvl w:ilvl="6">
      <w:start w:val="1"/>
      <w:numFmt w:val="lowerLetter"/>
      <w:lvlText w:val="%7."/>
      <w:lvlJc w:val="left"/>
      <w:pPr>
        <w:tabs>
          <w:tab w:val="num" w:pos="6480"/>
        </w:tabs>
        <w:ind w:left="1440" w:firstLine="4320"/>
      </w:pPr>
      <w:rPr>
        <w:b w:val="0"/>
        <w:i w:val="0"/>
        <w:caps w:val="0"/>
        <w:color w:val="auto"/>
        <w:u w:val="none"/>
      </w:rPr>
    </w:lvl>
    <w:lvl w:ilvl="7">
      <w:start w:val="1"/>
      <w:numFmt w:val="lowerRoman"/>
      <w:lvlText w:val="%8."/>
      <w:lvlJc w:val="left"/>
      <w:pPr>
        <w:tabs>
          <w:tab w:val="num" w:pos="7200"/>
        </w:tabs>
        <w:ind w:left="1440" w:firstLine="5040"/>
      </w:pPr>
      <w:rPr>
        <w:b w:val="0"/>
        <w:i w:val="0"/>
        <w:caps w:val="0"/>
        <w:color w:val="auto"/>
        <w:u w:val="none"/>
      </w:rPr>
    </w:lvl>
    <w:lvl w:ilvl="8">
      <w:start w:val="1"/>
      <w:numFmt w:val="decimal"/>
      <w:lvlText w:val="%9."/>
      <w:lvlJc w:val="left"/>
      <w:pPr>
        <w:tabs>
          <w:tab w:val="num" w:pos="7920"/>
        </w:tabs>
        <w:ind w:left="1440" w:firstLine="5760"/>
      </w:pPr>
      <w:rPr>
        <w:b w:val="0"/>
        <w:i w:val="0"/>
        <w:caps w:val="0"/>
        <w:color w:val="auto"/>
        <w:u w:val="none"/>
      </w:rPr>
    </w:lvl>
  </w:abstractNum>
  <w:abstractNum w:abstractNumId="17" w15:restartNumberingAfterBreak="0">
    <w:nsid w:val="0EB85393"/>
    <w:multiLevelType w:val="hybridMultilevel"/>
    <w:tmpl w:val="090A184A"/>
    <w:lvl w:ilvl="0" w:tplc="455A04F8">
      <w:start w:val="1"/>
      <w:numFmt w:val="lowerLetter"/>
      <w:pStyle w:val="NummberedA05"/>
      <w:lvlText w:val="%1"/>
      <w:lvlJc w:val="left"/>
      <w:pPr>
        <w:tabs>
          <w:tab w:val="num" w:pos="720"/>
        </w:tabs>
        <w:ind w:left="720" w:hanging="36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0F8520A2"/>
    <w:multiLevelType w:val="hybridMultilevel"/>
    <w:tmpl w:val="27EA87F8"/>
    <w:lvl w:ilvl="0" w:tplc="780263D6">
      <w:start w:val="1"/>
      <w:numFmt w:val="decimal"/>
      <w:pStyle w:val="Quote011"/>
      <w:lvlText w:val="%1."/>
      <w:lvlJc w:val="left"/>
      <w:pPr>
        <w:tabs>
          <w:tab w:val="num" w:pos="1440"/>
        </w:tabs>
        <w:ind w:left="0" w:firstLine="72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0D91542"/>
    <w:multiLevelType w:val="multilevel"/>
    <w:tmpl w:val="BDA4C23C"/>
    <w:lvl w:ilvl="0">
      <w:start w:val="1"/>
      <w:numFmt w:val="decimal"/>
      <w:pStyle w:val="ArticleL1"/>
      <w:suff w:val="space"/>
      <w:lvlText w:val="Article %1 -"/>
      <w:lvlJc w:val="left"/>
      <w:pPr>
        <w:ind w:left="2250" w:firstLine="0"/>
      </w:pPr>
      <w:rPr>
        <w:rFonts w:hint="default"/>
        <w:b/>
        <w:i w:val="0"/>
        <w:caps w:val="0"/>
        <w:u w:val="none"/>
      </w:rPr>
    </w:lvl>
    <w:lvl w:ilvl="1">
      <w:start w:val="1"/>
      <w:numFmt w:val="decimal"/>
      <w:pStyle w:val="ArticleL2"/>
      <w:isLgl/>
      <w:lvlText w:val="%1.%2"/>
      <w:lvlJc w:val="left"/>
      <w:pPr>
        <w:tabs>
          <w:tab w:val="num" w:pos="1440"/>
        </w:tabs>
        <w:ind w:left="0" w:firstLine="720"/>
      </w:pPr>
      <w:rPr>
        <w:rFonts w:hint="default"/>
        <w:b w:val="0"/>
        <w:i w:val="0"/>
        <w:caps w:val="0"/>
        <w:u w:val="none"/>
      </w:rPr>
    </w:lvl>
    <w:lvl w:ilvl="2">
      <w:start w:val="1"/>
      <w:numFmt w:val="upperLetter"/>
      <w:pStyle w:val="ArticleL3"/>
      <w:lvlText w:val="(%3)"/>
      <w:lvlJc w:val="right"/>
      <w:pPr>
        <w:tabs>
          <w:tab w:val="num" w:pos="2020"/>
        </w:tabs>
        <w:ind w:left="0" w:firstLine="1440"/>
      </w:pPr>
      <w:rPr>
        <w:rFonts w:hint="default"/>
        <w:b w:val="0"/>
        <w:bCs/>
      </w:rPr>
    </w:lvl>
    <w:lvl w:ilvl="3">
      <w:start w:val="1"/>
      <w:numFmt w:val="decimal"/>
      <w:pStyle w:val="ArticleL4"/>
      <w:lvlText w:val="%4."/>
      <w:lvlJc w:val="left"/>
      <w:pPr>
        <w:tabs>
          <w:tab w:val="num" w:pos="2880"/>
        </w:tabs>
        <w:ind w:left="720" w:firstLine="1440"/>
      </w:pPr>
      <w:rPr>
        <w:rFonts w:hint="default"/>
        <w:u w:val="none"/>
      </w:rPr>
    </w:lvl>
    <w:lvl w:ilvl="4">
      <w:start w:val="1"/>
      <w:numFmt w:val="lowerLetter"/>
      <w:pStyle w:val="ArticleL5"/>
      <w:lvlText w:val="%5."/>
      <w:lvlJc w:val="left"/>
      <w:pPr>
        <w:tabs>
          <w:tab w:val="num" w:pos="3600"/>
        </w:tabs>
        <w:ind w:left="1440" w:firstLine="1440"/>
      </w:pPr>
      <w:rPr>
        <w:rFonts w:ascii="Arial" w:eastAsia="Times New Roman" w:hAnsi="Arial" w:cs="Arial" w:hint="default"/>
        <w:b w:val="0"/>
        <w:i w:val="0"/>
        <w:caps w:val="0"/>
        <w:smallCaps w:val="0"/>
        <w:u w:val="none"/>
      </w:rPr>
    </w:lvl>
    <w:lvl w:ilvl="5">
      <w:start w:val="1"/>
      <w:numFmt w:val="lowerRoman"/>
      <w:pStyle w:val="ArticleL6"/>
      <w:lvlText w:val="%6."/>
      <w:lvlJc w:val="right"/>
      <w:pPr>
        <w:tabs>
          <w:tab w:val="num" w:pos="4320"/>
        </w:tabs>
        <w:ind w:left="1440" w:firstLine="3600"/>
      </w:pPr>
      <w:rPr>
        <w:rFonts w:hint="default"/>
      </w:rPr>
    </w:lvl>
    <w:lvl w:ilvl="6">
      <w:start w:val="1"/>
      <w:numFmt w:val="decimal"/>
      <w:pStyle w:val="ArticleL7"/>
      <w:lvlText w:val="%7."/>
      <w:lvlJc w:val="left"/>
      <w:pPr>
        <w:tabs>
          <w:tab w:val="num" w:pos="5040"/>
        </w:tabs>
        <w:ind w:left="1440" w:firstLine="4320"/>
      </w:pPr>
      <w:rPr>
        <w:rFonts w:hint="default"/>
      </w:rPr>
    </w:lvl>
    <w:lvl w:ilvl="7">
      <w:start w:val="1"/>
      <w:numFmt w:val="lowerLetter"/>
      <w:pStyle w:val="ArticleL8"/>
      <w:lvlText w:val="(%8)"/>
      <w:lvlJc w:val="left"/>
      <w:pPr>
        <w:ind w:left="8376" w:hanging="1896"/>
      </w:pPr>
      <w:rPr>
        <w:rFonts w:hint="default"/>
      </w:rPr>
    </w:lvl>
    <w:lvl w:ilvl="8">
      <w:start w:val="1"/>
      <w:numFmt w:val="lowerRoman"/>
      <w:pStyle w:val="ArticleL9"/>
      <w:lvlText w:val="%9."/>
      <w:lvlJc w:val="right"/>
      <w:pPr>
        <w:tabs>
          <w:tab w:val="num" w:pos="6480"/>
        </w:tabs>
        <w:ind w:left="1440" w:firstLine="5760"/>
      </w:pPr>
      <w:rPr>
        <w:rFonts w:hint="default"/>
      </w:rPr>
    </w:lvl>
  </w:abstractNum>
  <w:abstractNum w:abstractNumId="20" w15:restartNumberingAfterBreak="0">
    <w:nsid w:val="1E15496D"/>
    <w:multiLevelType w:val="hybridMultilevel"/>
    <w:tmpl w:val="442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239C52D1"/>
    <w:multiLevelType w:val="hybridMultilevel"/>
    <w:tmpl w:val="50321E02"/>
    <w:name w:val="zzmpLegal2||Legal2|2|3|1|1|0|9||1|0|1||1|0|1||1|0|1||1|0|0||1|0|0||1|0|0||1|0|0||1|0|0||"/>
    <w:lvl w:ilvl="0" w:tplc="E864EFDE">
      <w:start w:val="1"/>
      <w:numFmt w:val="bullet"/>
      <w:lvlText w:val=""/>
      <w:lvlJc w:val="left"/>
      <w:pPr>
        <w:ind w:left="720" w:hanging="360"/>
      </w:pPr>
      <w:rPr>
        <w:rFonts w:ascii="Symbol" w:hAnsi="Symbol" w:hint="default"/>
      </w:rPr>
    </w:lvl>
    <w:lvl w:ilvl="1" w:tplc="C0142F3C" w:tentative="1">
      <w:start w:val="1"/>
      <w:numFmt w:val="bullet"/>
      <w:lvlText w:val="o"/>
      <w:lvlJc w:val="left"/>
      <w:pPr>
        <w:ind w:left="1440" w:hanging="360"/>
      </w:pPr>
      <w:rPr>
        <w:rFonts w:ascii="Courier New" w:hAnsi="Courier New" w:cs="Courier New" w:hint="default"/>
      </w:rPr>
    </w:lvl>
    <w:lvl w:ilvl="2" w:tplc="9AF88D98" w:tentative="1">
      <w:start w:val="1"/>
      <w:numFmt w:val="bullet"/>
      <w:lvlText w:val=""/>
      <w:lvlJc w:val="left"/>
      <w:pPr>
        <w:ind w:left="2160" w:hanging="360"/>
      </w:pPr>
      <w:rPr>
        <w:rFonts w:ascii="Wingdings" w:hAnsi="Wingdings" w:hint="default"/>
      </w:rPr>
    </w:lvl>
    <w:lvl w:ilvl="3" w:tplc="806C54D6" w:tentative="1">
      <w:start w:val="1"/>
      <w:numFmt w:val="bullet"/>
      <w:lvlText w:val=""/>
      <w:lvlJc w:val="left"/>
      <w:pPr>
        <w:ind w:left="2880" w:hanging="360"/>
      </w:pPr>
      <w:rPr>
        <w:rFonts w:ascii="Symbol" w:hAnsi="Symbol" w:hint="default"/>
      </w:rPr>
    </w:lvl>
    <w:lvl w:ilvl="4" w:tplc="11F670D2" w:tentative="1">
      <w:start w:val="1"/>
      <w:numFmt w:val="bullet"/>
      <w:lvlText w:val="o"/>
      <w:lvlJc w:val="left"/>
      <w:pPr>
        <w:ind w:left="3600" w:hanging="360"/>
      </w:pPr>
      <w:rPr>
        <w:rFonts w:ascii="Courier New" w:hAnsi="Courier New" w:cs="Courier New" w:hint="default"/>
      </w:rPr>
    </w:lvl>
    <w:lvl w:ilvl="5" w:tplc="C55A85E6" w:tentative="1">
      <w:start w:val="1"/>
      <w:numFmt w:val="bullet"/>
      <w:lvlText w:val=""/>
      <w:lvlJc w:val="left"/>
      <w:pPr>
        <w:ind w:left="4320" w:hanging="360"/>
      </w:pPr>
      <w:rPr>
        <w:rFonts w:ascii="Wingdings" w:hAnsi="Wingdings" w:hint="default"/>
      </w:rPr>
    </w:lvl>
    <w:lvl w:ilvl="6" w:tplc="2D58DEFE" w:tentative="1">
      <w:start w:val="1"/>
      <w:numFmt w:val="bullet"/>
      <w:lvlText w:val=""/>
      <w:lvlJc w:val="left"/>
      <w:pPr>
        <w:ind w:left="5040" w:hanging="360"/>
      </w:pPr>
      <w:rPr>
        <w:rFonts w:ascii="Symbol" w:hAnsi="Symbol" w:hint="default"/>
      </w:rPr>
    </w:lvl>
    <w:lvl w:ilvl="7" w:tplc="5D46C20C" w:tentative="1">
      <w:start w:val="1"/>
      <w:numFmt w:val="bullet"/>
      <w:lvlText w:val="o"/>
      <w:lvlJc w:val="left"/>
      <w:pPr>
        <w:ind w:left="5760" w:hanging="360"/>
      </w:pPr>
      <w:rPr>
        <w:rFonts w:ascii="Courier New" w:hAnsi="Courier New" w:cs="Courier New" w:hint="default"/>
      </w:rPr>
    </w:lvl>
    <w:lvl w:ilvl="8" w:tplc="F4920836" w:tentative="1">
      <w:start w:val="1"/>
      <w:numFmt w:val="bullet"/>
      <w:lvlText w:val=""/>
      <w:lvlJc w:val="left"/>
      <w:pPr>
        <w:ind w:left="6480" w:hanging="360"/>
      </w:pPr>
      <w:rPr>
        <w:rFonts w:ascii="Wingdings" w:hAnsi="Wingdings" w:hint="default"/>
      </w:rPr>
    </w:lvl>
  </w:abstractNum>
  <w:abstractNum w:abstractNumId="23"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24"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25" w15:restartNumberingAfterBreak="0">
    <w:nsid w:val="2B673DC1"/>
    <w:multiLevelType w:val="hybridMultilevel"/>
    <w:tmpl w:val="C7C6944A"/>
    <w:lvl w:ilvl="0" w:tplc="858CD912">
      <w:start w:val="1"/>
      <w:numFmt w:val="lowerLetter"/>
      <w:lvlText w:val="%1."/>
      <w:lvlJc w:val="left"/>
      <w:pPr>
        <w:ind w:left="900" w:hanging="360"/>
      </w:pPr>
      <w:rPr>
        <w:rFonts w:hint="default"/>
        <w:b w:val="0"/>
        <w:bCs w:val="0"/>
      </w:rPr>
    </w:lvl>
    <w:lvl w:ilvl="1" w:tplc="04090003" w:tentative="1">
      <w:start w:val="1"/>
      <w:numFmt w:val="lowerLetter"/>
      <w:lvlText w:val="%2."/>
      <w:lvlJc w:val="left"/>
      <w:pPr>
        <w:ind w:left="1620" w:hanging="360"/>
      </w:pPr>
    </w:lvl>
    <w:lvl w:ilvl="2" w:tplc="04090005" w:tentative="1">
      <w:start w:val="1"/>
      <w:numFmt w:val="lowerRoman"/>
      <w:lvlText w:val="%3."/>
      <w:lvlJc w:val="right"/>
      <w:pPr>
        <w:ind w:left="2340" w:hanging="180"/>
      </w:pPr>
    </w:lvl>
    <w:lvl w:ilvl="3" w:tplc="04090001" w:tentative="1">
      <w:start w:val="1"/>
      <w:numFmt w:val="decimal"/>
      <w:lvlText w:val="%4."/>
      <w:lvlJc w:val="left"/>
      <w:pPr>
        <w:ind w:left="3060" w:hanging="360"/>
      </w:pPr>
    </w:lvl>
    <w:lvl w:ilvl="4" w:tplc="04090003" w:tentative="1">
      <w:start w:val="1"/>
      <w:numFmt w:val="lowerLetter"/>
      <w:lvlText w:val="%5."/>
      <w:lvlJc w:val="left"/>
      <w:pPr>
        <w:ind w:left="3780" w:hanging="360"/>
      </w:pPr>
    </w:lvl>
    <w:lvl w:ilvl="5" w:tplc="04090005" w:tentative="1">
      <w:start w:val="1"/>
      <w:numFmt w:val="lowerRoman"/>
      <w:lvlText w:val="%6."/>
      <w:lvlJc w:val="right"/>
      <w:pPr>
        <w:ind w:left="4500" w:hanging="180"/>
      </w:pPr>
    </w:lvl>
    <w:lvl w:ilvl="6" w:tplc="04090001" w:tentative="1">
      <w:start w:val="1"/>
      <w:numFmt w:val="decimal"/>
      <w:lvlText w:val="%7."/>
      <w:lvlJc w:val="left"/>
      <w:pPr>
        <w:ind w:left="5220" w:hanging="360"/>
      </w:pPr>
    </w:lvl>
    <w:lvl w:ilvl="7" w:tplc="04090003" w:tentative="1">
      <w:start w:val="1"/>
      <w:numFmt w:val="lowerLetter"/>
      <w:lvlText w:val="%8."/>
      <w:lvlJc w:val="left"/>
      <w:pPr>
        <w:ind w:left="5940" w:hanging="360"/>
      </w:pPr>
    </w:lvl>
    <w:lvl w:ilvl="8" w:tplc="04090005" w:tentative="1">
      <w:start w:val="1"/>
      <w:numFmt w:val="lowerRoman"/>
      <w:lvlText w:val="%9."/>
      <w:lvlJc w:val="right"/>
      <w:pPr>
        <w:ind w:left="6660" w:hanging="180"/>
      </w:pPr>
    </w:lvl>
  </w:abstractNum>
  <w:abstractNum w:abstractNumId="26" w15:restartNumberingAfterBreak="0">
    <w:nsid w:val="36A648C4"/>
    <w:multiLevelType w:val="hybridMultilevel"/>
    <w:tmpl w:val="ABAC7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28"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CBF2650"/>
    <w:multiLevelType w:val="multilevel"/>
    <w:tmpl w:val="86C82608"/>
    <w:lvl w:ilvl="0">
      <w:start w:val="1"/>
      <w:numFmt w:val="decimal"/>
      <w:pStyle w:val="StandardL1"/>
      <w:suff w:val="space"/>
      <w:lvlText w:val="Article %1 -"/>
      <w:lvlJc w:val="left"/>
      <w:pPr>
        <w:tabs>
          <w:tab w:val="num" w:pos="720"/>
        </w:tabs>
        <w:ind w:left="0" w:firstLine="0"/>
      </w:pPr>
      <w:rPr>
        <w:b/>
        <w:i w:val="0"/>
        <w:caps w:val="0"/>
        <w:smallCaps w:val="0"/>
        <w:u w:val="none"/>
      </w:rPr>
    </w:lvl>
    <w:lvl w:ilvl="1">
      <w:start w:val="1"/>
      <w:numFmt w:val="decimal"/>
      <w:pStyle w:val="StandardL2"/>
      <w:lvlText w:val="%1.%2"/>
      <w:lvlJc w:val="left"/>
      <w:pPr>
        <w:tabs>
          <w:tab w:val="num" w:pos="1440"/>
        </w:tabs>
        <w:ind w:left="0" w:firstLine="720"/>
      </w:pPr>
      <w:rPr>
        <w:b w:val="0"/>
        <w:i w:val="0"/>
        <w:caps w:val="0"/>
        <w:smallCaps w:val="0"/>
        <w:u w:val="none"/>
      </w:rPr>
    </w:lvl>
    <w:lvl w:ilvl="2">
      <w:start w:val="1"/>
      <w:numFmt w:val="upperLetter"/>
      <w:pStyle w:val="StandardL3"/>
      <w:lvlText w:val="(%3)"/>
      <w:lvlJc w:val="left"/>
      <w:pPr>
        <w:tabs>
          <w:tab w:val="num" w:pos="2160"/>
        </w:tabs>
        <w:ind w:left="0" w:firstLine="1440"/>
      </w:pPr>
    </w:lvl>
    <w:lvl w:ilvl="3">
      <w:start w:val="1"/>
      <w:numFmt w:val="decimal"/>
      <w:pStyle w:val="StandardL4"/>
      <w:lvlText w:val="(%4)"/>
      <w:lvlJc w:val="left"/>
      <w:pPr>
        <w:tabs>
          <w:tab w:val="num" w:pos="2880"/>
        </w:tabs>
        <w:ind w:left="0" w:firstLine="2160"/>
      </w:pPr>
      <w:rPr>
        <w:b w:val="0"/>
        <w:i w:val="0"/>
        <w:caps w:val="0"/>
        <w:smallCaps w:val="0"/>
        <w:u w:val="none"/>
      </w:rPr>
    </w:lvl>
    <w:lvl w:ilvl="4">
      <w:start w:val="1"/>
      <w:numFmt w:val="lowerRoman"/>
      <w:pStyle w:val="StandardL5"/>
      <w:lvlText w:val="(%5)"/>
      <w:lvlJc w:val="left"/>
      <w:pPr>
        <w:tabs>
          <w:tab w:val="num" w:pos="3600"/>
        </w:tabs>
        <w:ind w:left="0" w:firstLine="2880"/>
      </w:pPr>
      <w:rPr>
        <w:b w:val="0"/>
        <w:i w:val="0"/>
        <w:caps w:val="0"/>
        <w:smallCaps w:val="0"/>
        <w:u w:val="none"/>
      </w:rPr>
    </w:lvl>
    <w:lvl w:ilvl="5">
      <w:start w:val="1"/>
      <w:numFmt w:val="lowerRoman"/>
      <w:pStyle w:val="StandardL6"/>
      <w:lvlText w:val="%6."/>
      <w:lvlJc w:val="left"/>
      <w:pPr>
        <w:tabs>
          <w:tab w:val="num" w:pos="4320"/>
        </w:tabs>
        <w:ind w:left="0" w:firstLine="3600"/>
      </w:pPr>
      <w:rPr>
        <w:b w:val="0"/>
        <w:i w:val="0"/>
        <w:caps w:val="0"/>
        <w:smallCaps w:val="0"/>
        <w:u w:val="none"/>
      </w:rPr>
    </w:lvl>
    <w:lvl w:ilvl="6">
      <w:start w:val="1"/>
      <w:numFmt w:val="decimal"/>
      <w:pStyle w:val="StandardL7"/>
      <w:lvlText w:val="%7)"/>
      <w:lvlJc w:val="left"/>
      <w:pPr>
        <w:tabs>
          <w:tab w:val="num" w:pos="5040"/>
        </w:tabs>
        <w:ind w:left="0" w:firstLine="4320"/>
      </w:pPr>
      <w:rPr>
        <w:b w:val="0"/>
        <w:i w:val="0"/>
        <w:caps w:val="0"/>
        <w:smallCaps w:val="0"/>
        <w:u w:val="none"/>
      </w:rPr>
    </w:lvl>
    <w:lvl w:ilvl="7">
      <w:start w:val="1"/>
      <w:numFmt w:val="lowerLetter"/>
      <w:pStyle w:val="StandardL8"/>
      <w:lvlText w:val="%8)"/>
      <w:lvlJc w:val="left"/>
      <w:pPr>
        <w:tabs>
          <w:tab w:val="num" w:pos="5760"/>
        </w:tabs>
        <w:ind w:left="0" w:firstLine="5040"/>
      </w:pPr>
      <w:rPr>
        <w:b w:val="0"/>
        <w:i w:val="0"/>
        <w:caps w:val="0"/>
        <w:smallCaps w:val="0"/>
        <w:u w:val="none"/>
      </w:rPr>
    </w:lvl>
    <w:lvl w:ilvl="8">
      <w:start w:val="1"/>
      <w:numFmt w:val="lowerRoman"/>
      <w:pStyle w:val="StandardL9"/>
      <w:lvlText w:val="%9)"/>
      <w:lvlJc w:val="left"/>
      <w:pPr>
        <w:tabs>
          <w:tab w:val="num" w:pos="6480"/>
        </w:tabs>
        <w:ind w:left="0" w:firstLine="5760"/>
      </w:pPr>
      <w:rPr>
        <w:b w:val="0"/>
        <w:i w:val="0"/>
        <w:caps w:val="0"/>
        <w:smallCaps w:val="0"/>
        <w:u w:val="none"/>
      </w:rPr>
    </w:lvl>
  </w:abstractNum>
  <w:abstractNum w:abstractNumId="30" w15:restartNumberingAfterBreak="0">
    <w:nsid w:val="3D3608E2"/>
    <w:multiLevelType w:val="multilevel"/>
    <w:tmpl w:val="0409001D"/>
    <w:name w:val="zzmpStandard||Standard|2|3|1|2|10|1||1|2|4||1|2|0||1|2|0||1|2|0||1|12|0||1|12|0||1|12|0||1|12|0||"/>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3D9E2096"/>
    <w:multiLevelType w:val="multilevel"/>
    <w:tmpl w:val="F8CEC030"/>
    <w:lvl w:ilvl="0">
      <w:start w:val="1"/>
      <w:numFmt w:val="upperRoman"/>
      <w:pStyle w:val="Tax1L1"/>
      <w:suff w:val="nothing"/>
      <w:lvlText w:val="ARTICLE %1"/>
      <w:lvlJc w:val="left"/>
      <w:rPr>
        <w:b/>
        <w:i w:val="0"/>
        <w:caps/>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ax1L2"/>
      <w:isLgl/>
      <w:lvlText w:val="%1.%2"/>
      <w:lvlJc w:val="left"/>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Tax1L3"/>
      <w:lvlText w:val="(%3)"/>
      <w:lvlJc w:val="left"/>
      <w:rPr>
        <w:b w:val="0"/>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Tax1L4"/>
      <w:lvlText w:val="(%4)"/>
      <w:lvlJc w:val="left"/>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ax1L5"/>
      <w:lvlText w:val="(%5)"/>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Tax1L6"/>
      <w:lvlText w:val="(%6)"/>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414A6789"/>
    <w:multiLevelType w:val="hybridMultilevel"/>
    <w:tmpl w:val="4AECA926"/>
    <w:lvl w:ilvl="0" w:tplc="F3C20744">
      <w:start w:val="1"/>
      <w:numFmt w:val="decimal"/>
      <w:lvlText w:val="%1."/>
      <w:lvlJc w:val="left"/>
      <w:pPr>
        <w:ind w:left="720" w:hanging="360"/>
      </w:pPr>
      <w:rPr>
        <w:rFonts w:hint="default"/>
      </w:rPr>
    </w:lvl>
    <w:lvl w:ilvl="1" w:tplc="3EFEFC96" w:tentative="1">
      <w:start w:val="1"/>
      <w:numFmt w:val="lowerLetter"/>
      <w:lvlText w:val="%2."/>
      <w:lvlJc w:val="left"/>
      <w:pPr>
        <w:ind w:left="1440" w:hanging="360"/>
      </w:pPr>
    </w:lvl>
    <w:lvl w:ilvl="2" w:tplc="983A96CC" w:tentative="1">
      <w:start w:val="1"/>
      <w:numFmt w:val="lowerRoman"/>
      <w:lvlText w:val="%3."/>
      <w:lvlJc w:val="right"/>
      <w:pPr>
        <w:ind w:left="2160" w:hanging="180"/>
      </w:pPr>
    </w:lvl>
    <w:lvl w:ilvl="3" w:tplc="90DA90B0" w:tentative="1">
      <w:start w:val="1"/>
      <w:numFmt w:val="decimal"/>
      <w:lvlText w:val="%4."/>
      <w:lvlJc w:val="left"/>
      <w:pPr>
        <w:ind w:left="2880" w:hanging="360"/>
      </w:pPr>
    </w:lvl>
    <w:lvl w:ilvl="4" w:tplc="1A6AB368" w:tentative="1">
      <w:start w:val="1"/>
      <w:numFmt w:val="lowerLetter"/>
      <w:lvlText w:val="%5."/>
      <w:lvlJc w:val="left"/>
      <w:pPr>
        <w:ind w:left="3600" w:hanging="360"/>
      </w:pPr>
    </w:lvl>
    <w:lvl w:ilvl="5" w:tplc="0C3A63CC" w:tentative="1">
      <w:start w:val="1"/>
      <w:numFmt w:val="lowerRoman"/>
      <w:lvlText w:val="%6."/>
      <w:lvlJc w:val="right"/>
      <w:pPr>
        <w:ind w:left="4320" w:hanging="180"/>
      </w:pPr>
    </w:lvl>
    <w:lvl w:ilvl="6" w:tplc="07F6AF54" w:tentative="1">
      <w:start w:val="1"/>
      <w:numFmt w:val="decimal"/>
      <w:lvlText w:val="%7."/>
      <w:lvlJc w:val="left"/>
      <w:pPr>
        <w:ind w:left="5040" w:hanging="360"/>
      </w:pPr>
    </w:lvl>
    <w:lvl w:ilvl="7" w:tplc="CA42DD32" w:tentative="1">
      <w:start w:val="1"/>
      <w:numFmt w:val="lowerLetter"/>
      <w:lvlText w:val="%8."/>
      <w:lvlJc w:val="left"/>
      <w:pPr>
        <w:ind w:left="5760" w:hanging="360"/>
      </w:pPr>
    </w:lvl>
    <w:lvl w:ilvl="8" w:tplc="477490FA" w:tentative="1">
      <w:start w:val="1"/>
      <w:numFmt w:val="lowerRoman"/>
      <w:lvlText w:val="%9."/>
      <w:lvlJc w:val="right"/>
      <w:pPr>
        <w:ind w:left="6480" w:hanging="180"/>
      </w:pPr>
    </w:lvl>
  </w:abstractNum>
  <w:abstractNum w:abstractNumId="33" w15:restartNumberingAfterBreak="0">
    <w:nsid w:val="41C5600E"/>
    <w:multiLevelType w:val="hybridMultilevel"/>
    <w:tmpl w:val="91E6B6F4"/>
    <w:lvl w:ilvl="0" w:tplc="0409000F">
      <w:start w:val="1"/>
      <w:numFmt w:val="lowerLetter"/>
      <w:pStyle w:val="BulletListIndent5NoPt"/>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4" w15:restartNumberingAfterBreak="0">
    <w:nsid w:val="429048A2"/>
    <w:multiLevelType w:val="hybridMultilevel"/>
    <w:tmpl w:val="85164404"/>
    <w:name w:val="zzmpArticle||Article|2|1|1|2|2|33||1|2|4||1|2|0||1|2|0||1|2|0||1|4|0||1|4|0||1|4|0||1|4|0||2"/>
    <w:lvl w:ilvl="0" w:tplc="FDA2E846">
      <w:start w:val="23"/>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2DA30E2"/>
    <w:multiLevelType w:val="multilevel"/>
    <w:tmpl w:val="95207FB2"/>
    <w:lvl w:ilvl="0">
      <w:start w:val="1"/>
      <w:numFmt w:val="decimal"/>
      <w:lvlText w:val="%1"/>
      <w:lvlJc w:val="left"/>
      <w:pPr>
        <w:tabs>
          <w:tab w:val="num" w:pos="360"/>
        </w:tabs>
        <w:ind w:left="0" w:firstLine="0"/>
      </w:pPr>
    </w:lvl>
    <w:lvl w:ilvl="1">
      <w:start w:val="2"/>
      <w:numFmt w:val="none"/>
      <w:pStyle w:val="Level2"/>
      <w:lvlText w:val="3.2"/>
      <w:lvlJc w:val="left"/>
      <w:pPr>
        <w:tabs>
          <w:tab w:val="num" w:pos="1008"/>
        </w:tabs>
        <w:ind w:left="0" w:firstLine="648"/>
      </w:pPr>
    </w:lvl>
    <w:lvl w:ilvl="2">
      <w:start w:val="1"/>
      <w:numFmt w:val="decimal"/>
      <w:pStyle w:val="Level3"/>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
      <w:lvlJc w:val="left"/>
      <w:pPr>
        <w:tabs>
          <w:tab w:val="num" w:pos="0"/>
        </w:tabs>
        <w:ind w:left="0" w:firstLine="0"/>
      </w:pPr>
    </w:lvl>
  </w:abstractNum>
  <w:abstractNum w:abstractNumId="37" w15:restartNumberingAfterBreak="0">
    <w:nsid w:val="56431CA4"/>
    <w:multiLevelType w:val="hybridMultilevel"/>
    <w:tmpl w:val="F47CE274"/>
    <w:name w:val="zzmpArticle||Article|2|1|1|2|2|33||1|2|4||1|2|0||1|2|0||1|2|0||1|4|0||1|4|0||1|4|0||1|4|0||22"/>
    <w:lvl w:ilvl="0" w:tplc="270C4872">
      <w:start w:val="24"/>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D74BA6"/>
    <w:multiLevelType w:val="multilevel"/>
    <w:tmpl w:val="E4BED2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573250DC"/>
    <w:multiLevelType w:val="hybridMultilevel"/>
    <w:tmpl w:val="44EEF4A4"/>
    <w:lvl w:ilvl="0" w:tplc="59A6B0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7A17DE1"/>
    <w:multiLevelType w:val="hybridMultilevel"/>
    <w:tmpl w:val="6414D52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7FA66AF"/>
    <w:multiLevelType w:val="hybridMultilevel"/>
    <w:tmpl w:val="13006A70"/>
    <w:name w:val="zzmpArticle||Article|2|1|1|2|2|33||1|2|4||1|2|0||1|2|0||1|2|0||1|4|0||1|4|0||1|4|0||1|4|0||23"/>
    <w:lvl w:ilvl="0" w:tplc="4CB880B8">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8625EC7"/>
    <w:multiLevelType w:val="hybridMultilevel"/>
    <w:tmpl w:val="1396D58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44" w15:restartNumberingAfterBreak="0">
    <w:nsid w:val="60491CAB"/>
    <w:multiLevelType w:val="hybridMultilevel"/>
    <w:tmpl w:val="13CCEEF6"/>
    <w:lvl w:ilvl="0" w:tplc="AB986ADC">
      <w:start w:val="1"/>
      <w:numFmt w:val="lowerLetter"/>
      <w:pStyle w:val="Numbereed105"/>
      <w:lvlText w:val="%1"/>
      <w:lvlJc w:val="left"/>
      <w:pPr>
        <w:tabs>
          <w:tab w:val="num" w:pos="720"/>
        </w:tabs>
        <w:ind w:left="720" w:hanging="360"/>
      </w:pPr>
      <w:rPr>
        <w:rFonts w:hint="default"/>
      </w:rPr>
    </w:lvl>
    <w:lvl w:ilvl="1" w:tplc="E17E4D3E">
      <w:start w:val="1"/>
      <w:numFmt w:val="decimal"/>
      <w:lvlText w:val="%2."/>
      <w:lvlJc w:val="left"/>
      <w:pPr>
        <w:tabs>
          <w:tab w:val="num" w:pos="1440"/>
        </w:tabs>
        <w:ind w:left="1440" w:hanging="360"/>
      </w:pPr>
      <w:rPr>
        <w:rFonts w:hint="default"/>
      </w:rPr>
    </w:lvl>
    <w:lvl w:ilvl="2" w:tplc="C8760DD6" w:tentative="1">
      <w:start w:val="1"/>
      <w:numFmt w:val="lowerRoman"/>
      <w:lvlText w:val="%3."/>
      <w:lvlJc w:val="right"/>
      <w:pPr>
        <w:tabs>
          <w:tab w:val="num" w:pos="2160"/>
        </w:tabs>
        <w:ind w:left="2160" w:hanging="180"/>
      </w:pPr>
    </w:lvl>
    <w:lvl w:ilvl="3" w:tplc="22FEE77A" w:tentative="1">
      <w:start w:val="1"/>
      <w:numFmt w:val="decimal"/>
      <w:lvlText w:val="%4."/>
      <w:lvlJc w:val="left"/>
      <w:pPr>
        <w:tabs>
          <w:tab w:val="num" w:pos="2880"/>
        </w:tabs>
        <w:ind w:left="2880" w:hanging="360"/>
      </w:pPr>
    </w:lvl>
    <w:lvl w:ilvl="4" w:tplc="C48A83FE" w:tentative="1">
      <w:start w:val="1"/>
      <w:numFmt w:val="lowerLetter"/>
      <w:lvlText w:val="%5."/>
      <w:lvlJc w:val="left"/>
      <w:pPr>
        <w:tabs>
          <w:tab w:val="num" w:pos="3600"/>
        </w:tabs>
        <w:ind w:left="3600" w:hanging="360"/>
      </w:pPr>
    </w:lvl>
    <w:lvl w:ilvl="5" w:tplc="36083DDC" w:tentative="1">
      <w:start w:val="1"/>
      <w:numFmt w:val="lowerRoman"/>
      <w:lvlText w:val="%6."/>
      <w:lvlJc w:val="right"/>
      <w:pPr>
        <w:tabs>
          <w:tab w:val="num" w:pos="4320"/>
        </w:tabs>
        <w:ind w:left="4320" w:hanging="180"/>
      </w:pPr>
    </w:lvl>
    <w:lvl w:ilvl="6" w:tplc="AFF0054C" w:tentative="1">
      <w:start w:val="1"/>
      <w:numFmt w:val="decimal"/>
      <w:lvlText w:val="%7."/>
      <w:lvlJc w:val="left"/>
      <w:pPr>
        <w:tabs>
          <w:tab w:val="num" w:pos="5040"/>
        </w:tabs>
        <w:ind w:left="5040" w:hanging="360"/>
      </w:pPr>
    </w:lvl>
    <w:lvl w:ilvl="7" w:tplc="9B406D3A" w:tentative="1">
      <w:start w:val="1"/>
      <w:numFmt w:val="lowerLetter"/>
      <w:lvlText w:val="%8."/>
      <w:lvlJc w:val="left"/>
      <w:pPr>
        <w:tabs>
          <w:tab w:val="num" w:pos="5760"/>
        </w:tabs>
        <w:ind w:left="5760" w:hanging="360"/>
      </w:pPr>
    </w:lvl>
    <w:lvl w:ilvl="8" w:tplc="D174EE64" w:tentative="1">
      <w:start w:val="1"/>
      <w:numFmt w:val="lowerRoman"/>
      <w:lvlText w:val="%9."/>
      <w:lvlJc w:val="right"/>
      <w:pPr>
        <w:tabs>
          <w:tab w:val="num" w:pos="6480"/>
        </w:tabs>
        <w:ind w:left="6480" w:hanging="180"/>
      </w:pPr>
    </w:lvl>
  </w:abstractNum>
  <w:abstractNum w:abstractNumId="45" w15:restartNumberingAfterBreak="0">
    <w:nsid w:val="66A87C96"/>
    <w:multiLevelType w:val="hybridMultilevel"/>
    <w:tmpl w:val="B162980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9AC2A3B"/>
    <w:multiLevelType w:val="multilevel"/>
    <w:tmpl w:val="3D0C50C4"/>
    <w:lvl w:ilvl="0">
      <w:start w:val="1"/>
      <w:numFmt w:val="decimal"/>
      <w:pStyle w:val="ArticleExhL1"/>
      <w:suff w:val="nothing"/>
      <w:lvlText w:val="ARTICLE %1"/>
      <w:lvlJc w:val="left"/>
      <w:pPr>
        <w:tabs>
          <w:tab w:val="num" w:pos="720"/>
        </w:tabs>
        <w:ind w:left="0" w:firstLine="0"/>
      </w:pPr>
      <w:rPr>
        <w:rFonts w:ascii="Arial" w:hAnsi="Arial" w:cs="Arial"/>
        <w:b/>
        <w:i w:val="0"/>
        <w:caps/>
        <w:smallCaps w:val="0"/>
        <w:color w:val="auto"/>
        <w:sz w:val="24"/>
        <w:u w:val="none"/>
      </w:rPr>
    </w:lvl>
    <w:lvl w:ilvl="1">
      <w:start w:val="1"/>
      <w:numFmt w:val="decimal"/>
      <w:pStyle w:val="ArticleExhL2"/>
      <w:lvlText w:val="%1.%2"/>
      <w:lvlJc w:val="left"/>
      <w:pPr>
        <w:tabs>
          <w:tab w:val="num" w:pos="1440"/>
        </w:tabs>
        <w:ind w:left="0" w:firstLine="720"/>
      </w:pPr>
      <w:rPr>
        <w:rFonts w:ascii="Arial" w:hAnsi="Arial" w:cs="Arial"/>
        <w:b w:val="0"/>
        <w:i w:val="0"/>
        <w:caps w:val="0"/>
        <w:sz w:val="24"/>
        <w:u w:val="none"/>
      </w:rPr>
    </w:lvl>
    <w:lvl w:ilvl="2">
      <w:start w:val="1"/>
      <w:numFmt w:val="decimal"/>
      <w:pStyle w:val="ArticleExhL3"/>
      <w:lvlText w:val="%1.%2.%3"/>
      <w:lvlJc w:val="left"/>
      <w:pPr>
        <w:tabs>
          <w:tab w:val="num" w:pos="2520"/>
        </w:tabs>
        <w:ind w:left="0" w:firstLine="1440"/>
      </w:pPr>
      <w:rPr>
        <w:rFonts w:ascii="Arial" w:hAnsi="Arial" w:cs="Arial"/>
        <w:b w:val="0"/>
        <w:i w:val="0"/>
        <w:caps w:val="0"/>
        <w:sz w:val="24"/>
        <w:u w:val="none"/>
      </w:rPr>
    </w:lvl>
    <w:lvl w:ilvl="3">
      <w:start w:val="1"/>
      <w:numFmt w:val="lowerLetter"/>
      <w:pStyle w:val="ArticleExhL4"/>
      <w:lvlText w:val="(%4)"/>
      <w:lvlJc w:val="left"/>
      <w:pPr>
        <w:tabs>
          <w:tab w:val="num" w:pos="2880"/>
        </w:tabs>
        <w:ind w:left="0" w:firstLine="2160"/>
      </w:pPr>
      <w:rPr>
        <w:rFonts w:ascii="Arial" w:hAnsi="Arial" w:cs="Arial"/>
        <w:b w:val="0"/>
        <w:i w:val="0"/>
        <w:caps w:val="0"/>
        <w:sz w:val="24"/>
        <w:u w:val="none"/>
      </w:rPr>
    </w:lvl>
    <w:lvl w:ilvl="4">
      <w:start w:val="1"/>
      <w:numFmt w:val="lowerRoman"/>
      <w:pStyle w:val="ArticleExhL5"/>
      <w:lvlText w:val="(%5)"/>
      <w:lvlJc w:val="left"/>
      <w:pPr>
        <w:tabs>
          <w:tab w:val="num" w:pos="3600"/>
        </w:tabs>
        <w:ind w:left="0" w:firstLine="2880"/>
      </w:pPr>
      <w:rPr>
        <w:rFonts w:ascii="Arial" w:hAnsi="Arial" w:cs="Arial"/>
        <w:b w:val="0"/>
        <w:i w:val="0"/>
        <w:caps w:val="0"/>
        <w:sz w:val="24"/>
        <w:u w:val="none"/>
      </w:rPr>
    </w:lvl>
    <w:lvl w:ilvl="5">
      <w:start w:val="1"/>
      <w:numFmt w:val="decimal"/>
      <w:pStyle w:val="ArticleExhL6"/>
      <w:lvlText w:val="(%6)"/>
      <w:lvlJc w:val="left"/>
      <w:pPr>
        <w:tabs>
          <w:tab w:val="num" w:pos="4320"/>
        </w:tabs>
        <w:ind w:left="0" w:firstLine="3600"/>
      </w:pPr>
      <w:rPr>
        <w:rFonts w:ascii="Arial" w:hAnsi="Arial" w:cs="Arial"/>
        <w:b w:val="0"/>
        <w:i w:val="0"/>
        <w:caps w:val="0"/>
        <w:sz w:val="24"/>
        <w:u w:val="none"/>
      </w:rPr>
    </w:lvl>
    <w:lvl w:ilvl="6">
      <w:start w:val="1"/>
      <w:numFmt w:val="lowerLetter"/>
      <w:pStyle w:val="ArticleExhL7"/>
      <w:lvlText w:val="%7."/>
      <w:lvlJc w:val="left"/>
      <w:pPr>
        <w:tabs>
          <w:tab w:val="num" w:pos="5040"/>
        </w:tabs>
        <w:ind w:left="0" w:firstLine="4320"/>
      </w:pPr>
      <w:rPr>
        <w:rFonts w:ascii="Arial" w:hAnsi="Arial" w:cs="Arial"/>
        <w:b w:val="0"/>
        <w:i w:val="0"/>
        <w:caps w:val="0"/>
        <w:color w:val="auto"/>
        <w:sz w:val="24"/>
        <w:u w:val="none"/>
      </w:rPr>
    </w:lvl>
    <w:lvl w:ilvl="7">
      <w:start w:val="1"/>
      <w:numFmt w:val="lowerRoman"/>
      <w:pStyle w:val="ArticleExhL8"/>
      <w:lvlText w:val="%8."/>
      <w:lvlJc w:val="left"/>
      <w:pPr>
        <w:tabs>
          <w:tab w:val="num" w:pos="5760"/>
        </w:tabs>
        <w:ind w:left="0" w:firstLine="5040"/>
      </w:pPr>
      <w:rPr>
        <w:rFonts w:ascii="Arial" w:hAnsi="Arial" w:cs="Arial"/>
        <w:b w:val="0"/>
        <w:i w:val="0"/>
        <w:caps w:val="0"/>
        <w:color w:val="auto"/>
        <w:sz w:val="24"/>
        <w:u w:val="none"/>
      </w:rPr>
    </w:lvl>
    <w:lvl w:ilvl="8">
      <w:start w:val="1"/>
      <w:numFmt w:val="decimal"/>
      <w:pStyle w:val="ArticleExhL9"/>
      <w:lvlText w:val="%9."/>
      <w:lvlJc w:val="left"/>
      <w:pPr>
        <w:tabs>
          <w:tab w:val="num" w:pos="6480"/>
        </w:tabs>
        <w:ind w:left="0" w:firstLine="5760"/>
      </w:pPr>
      <w:rPr>
        <w:rFonts w:ascii="Arial" w:hAnsi="Arial" w:cs="Arial"/>
        <w:b w:val="0"/>
        <w:i w:val="0"/>
        <w:caps w:val="0"/>
        <w:color w:val="auto"/>
        <w:sz w:val="24"/>
        <w:u w:val="none"/>
      </w:rPr>
    </w:lvl>
  </w:abstractNum>
  <w:abstractNum w:abstractNumId="47" w15:restartNumberingAfterBreak="0">
    <w:nsid w:val="71592346"/>
    <w:multiLevelType w:val="multilevel"/>
    <w:tmpl w:val="DD0A677C"/>
    <w:lvl w:ilvl="0">
      <w:start w:val="1"/>
      <w:numFmt w:val="decimal"/>
      <w:pStyle w:val="Otten5L1"/>
      <w:lvlText w:val="%1."/>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Otten5L2"/>
      <w:lvlText w:val="(%2)"/>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Otten5L3"/>
      <w:lvlText w:val="(%3)"/>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tten5L4"/>
      <w:lvlText w:val="%4."/>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Otten5L5"/>
      <w:lvlText w:val="(%5)"/>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tten5L6"/>
      <w:lvlText w:val="%6)"/>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Otten5L7"/>
      <w:lvlText w:val="%7)"/>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Otten5L8"/>
      <w:lvlText w:val="%8."/>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Otten5L9"/>
      <w:lvlText w:val="%9."/>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8" w15:restartNumberingAfterBreak="0">
    <w:nsid w:val="7729279A"/>
    <w:multiLevelType w:val="hybridMultilevel"/>
    <w:tmpl w:val="EAA2CFEC"/>
    <w:lvl w:ilvl="0" w:tplc="249A6BA2">
      <w:start w:val="1"/>
      <w:numFmt w:val="bullet"/>
      <w:pStyle w:val="CapSignature"/>
      <w:lvlText w:val=""/>
      <w:lvlJc w:val="left"/>
      <w:pPr>
        <w:tabs>
          <w:tab w:val="num" w:pos="1440"/>
        </w:tabs>
        <w:ind w:left="1440" w:hanging="720"/>
      </w:pPr>
      <w:rPr>
        <w:rFonts w:ascii="Symbol" w:hAnsi="Symbol" w:hint="default"/>
      </w:rPr>
    </w:lvl>
    <w:lvl w:ilvl="1" w:tplc="86E0C372" w:tentative="1">
      <w:start w:val="1"/>
      <w:numFmt w:val="bullet"/>
      <w:lvlText w:val="o"/>
      <w:lvlJc w:val="left"/>
      <w:pPr>
        <w:tabs>
          <w:tab w:val="num" w:pos="1440"/>
        </w:tabs>
        <w:ind w:left="1440" w:hanging="360"/>
      </w:pPr>
      <w:rPr>
        <w:rFonts w:ascii="Courier New" w:hAnsi="Courier New" w:cs="Courier New" w:hint="default"/>
      </w:rPr>
    </w:lvl>
    <w:lvl w:ilvl="2" w:tplc="81B0A5F2" w:tentative="1">
      <w:start w:val="1"/>
      <w:numFmt w:val="bullet"/>
      <w:lvlText w:val=""/>
      <w:lvlJc w:val="left"/>
      <w:pPr>
        <w:tabs>
          <w:tab w:val="num" w:pos="2160"/>
        </w:tabs>
        <w:ind w:left="2160" w:hanging="360"/>
      </w:pPr>
      <w:rPr>
        <w:rFonts w:ascii="Wingdings" w:hAnsi="Wingdings" w:hint="default"/>
      </w:rPr>
    </w:lvl>
    <w:lvl w:ilvl="3" w:tplc="C2ACE452" w:tentative="1">
      <w:start w:val="1"/>
      <w:numFmt w:val="bullet"/>
      <w:lvlText w:val=""/>
      <w:lvlJc w:val="left"/>
      <w:pPr>
        <w:tabs>
          <w:tab w:val="num" w:pos="2880"/>
        </w:tabs>
        <w:ind w:left="2880" w:hanging="360"/>
      </w:pPr>
      <w:rPr>
        <w:rFonts w:ascii="Symbol" w:hAnsi="Symbol" w:hint="default"/>
      </w:rPr>
    </w:lvl>
    <w:lvl w:ilvl="4" w:tplc="9ED4987E" w:tentative="1">
      <w:start w:val="1"/>
      <w:numFmt w:val="bullet"/>
      <w:lvlText w:val="o"/>
      <w:lvlJc w:val="left"/>
      <w:pPr>
        <w:tabs>
          <w:tab w:val="num" w:pos="3600"/>
        </w:tabs>
        <w:ind w:left="3600" w:hanging="360"/>
      </w:pPr>
      <w:rPr>
        <w:rFonts w:ascii="Courier New" w:hAnsi="Courier New" w:cs="Courier New" w:hint="default"/>
      </w:rPr>
    </w:lvl>
    <w:lvl w:ilvl="5" w:tplc="92A420DC" w:tentative="1">
      <w:start w:val="1"/>
      <w:numFmt w:val="bullet"/>
      <w:lvlText w:val=""/>
      <w:lvlJc w:val="left"/>
      <w:pPr>
        <w:tabs>
          <w:tab w:val="num" w:pos="4320"/>
        </w:tabs>
        <w:ind w:left="4320" w:hanging="360"/>
      </w:pPr>
      <w:rPr>
        <w:rFonts w:ascii="Wingdings" w:hAnsi="Wingdings" w:hint="default"/>
      </w:rPr>
    </w:lvl>
    <w:lvl w:ilvl="6" w:tplc="12BC0FA4" w:tentative="1">
      <w:start w:val="1"/>
      <w:numFmt w:val="bullet"/>
      <w:lvlText w:val=""/>
      <w:lvlJc w:val="left"/>
      <w:pPr>
        <w:tabs>
          <w:tab w:val="num" w:pos="5040"/>
        </w:tabs>
        <w:ind w:left="5040" w:hanging="360"/>
      </w:pPr>
      <w:rPr>
        <w:rFonts w:ascii="Symbol" w:hAnsi="Symbol" w:hint="default"/>
      </w:rPr>
    </w:lvl>
    <w:lvl w:ilvl="7" w:tplc="7B4C6E40" w:tentative="1">
      <w:start w:val="1"/>
      <w:numFmt w:val="bullet"/>
      <w:lvlText w:val="o"/>
      <w:lvlJc w:val="left"/>
      <w:pPr>
        <w:tabs>
          <w:tab w:val="num" w:pos="5760"/>
        </w:tabs>
        <w:ind w:left="5760" w:hanging="360"/>
      </w:pPr>
      <w:rPr>
        <w:rFonts w:ascii="Courier New" w:hAnsi="Courier New" w:cs="Courier New" w:hint="default"/>
      </w:rPr>
    </w:lvl>
    <w:lvl w:ilvl="8" w:tplc="00065CC2"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93B0FEF"/>
    <w:multiLevelType w:val="hybridMultilevel"/>
    <w:tmpl w:val="E8745116"/>
    <w:lvl w:ilvl="0" w:tplc="D4626B96">
      <w:start w:val="1"/>
      <w:numFmt w:val="bullet"/>
      <w:pStyle w:val="FlushRightDotLeader"/>
      <w:lvlText w:val=""/>
      <w:lvlJc w:val="left"/>
      <w:pPr>
        <w:tabs>
          <w:tab w:val="num" w:pos="1440"/>
        </w:tabs>
        <w:ind w:left="1440" w:hanging="720"/>
      </w:pPr>
      <w:rPr>
        <w:rFonts w:ascii="Symbol" w:hAnsi="Symbol" w:hint="default"/>
      </w:rPr>
    </w:lvl>
    <w:lvl w:ilvl="1" w:tplc="D7AA566E" w:tentative="1">
      <w:start w:val="1"/>
      <w:numFmt w:val="bullet"/>
      <w:lvlText w:val="o"/>
      <w:lvlJc w:val="left"/>
      <w:pPr>
        <w:tabs>
          <w:tab w:val="num" w:pos="1440"/>
        </w:tabs>
        <w:ind w:left="1440" w:hanging="360"/>
      </w:pPr>
      <w:rPr>
        <w:rFonts w:ascii="Courier New" w:hAnsi="Courier New" w:cs="Courier New" w:hint="default"/>
      </w:rPr>
    </w:lvl>
    <w:lvl w:ilvl="2" w:tplc="5320609A" w:tentative="1">
      <w:start w:val="1"/>
      <w:numFmt w:val="bullet"/>
      <w:lvlText w:val=""/>
      <w:lvlJc w:val="left"/>
      <w:pPr>
        <w:tabs>
          <w:tab w:val="num" w:pos="2160"/>
        </w:tabs>
        <w:ind w:left="2160" w:hanging="360"/>
      </w:pPr>
      <w:rPr>
        <w:rFonts w:ascii="Wingdings" w:hAnsi="Wingdings" w:hint="default"/>
      </w:rPr>
    </w:lvl>
    <w:lvl w:ilvl="3" w:tplc="4F46A658" w:tentative="1">
      <w:start w:val="1"/>
      <w:numFmt w:val="bullet"/>
      <w:lvlText w:val=""/>
      <w:lvlJc w:val="left"/>
      <w:pPr>
        <w:tabs>
          <w:tab w:val="num" w:pos="2880"/>
        </w:tabs>
        <w:ind w:left="2880" w:hanging="360"/>
      </w:pPr>
      <w:rPr>
        <w:rFonts w:ascii="Symbol" w:hAnsi="Symbol" w:hint="default"/>
      </w:rPr>
    </w:lvl>
    <w:lvl w:ilvl="4" w:tplc="188AC644" w:tentative="1">
      <w:start w:val="1"/>
      <w:numFmt w:val="bullet"/>
      <w:lvlText w:val="o"/>
      <w:lvlJc w:val="left"/>
      <w:pPr>
        <w:tabs>
          <w:tab w:val="num" w:pos="3600"/>
        </w:tabs>
        <w:ind w:left="3600" w:hanging="360"/>
      </w:pPr>
      <w:rPr>
        <w:rFonts w:ascii="Courier New" w:hAnsi="Courier New" w:cs="Courier New" w:hint="default"/>
      </w:rPr>
    </w:lvl>
    <w:lvl w:ilvl="5" w:tplc="D0E4317E" w:tentative="1">
      <w:start w:val="1"/>
      <w:numFmt w:val="bullet"/>
      <w:lvlText w:val=""/>
      <w:lvlJc w:val="left"/>
      <w:pPr>
        <w:tabs>
          <w:tab w:val="num" w:pos="4320"/>
        </w:tabs>
        <w:ind w:left="4320" w:hanging="360"/>
      </w:pPr>
      <w:rPr>
        <w:rFonts w:ascii="Wingdings" w:hAnsi="Wingdings" w:hint="default"/>
      </w:rPr>
    </w:lvl>
    <w:lvl w:ilvl="6" w:tplc="3F284440" w:tentative="1">
      <w:start w:val="1"/>
      <w:numFmt w:val="bullet"/>
      <w:lvlText w:val=""/>
      <w:lvlJc w:val="left"/>
      <w:pPr>
        <w:tabs>
          <w:tab w:val="num" w:pos="5040"/>
        </w:tabs>
        <w:ind w:left="5040" w:hanging="360"/>
      </w:pPr>
      <w:rPr>
        <w:rFonts w:ascii="Symbol" w:hAnsi="Symbol" w:hint="default"/>
      </w:rPr>
    </w:lvl>
    <w:lvl w:ilvl="7" w:tplc="BB70628A" w:tentative="1">
      <w:start w:val="1"/>
      <w:numFmt w:val="bullet"/>
      <w:lvlText w:val="o"/>
      <w:lvlJc w:val="left"/>
      <w:pPr>
        <w:tabs>
          <w:tab w:val="num" w:pos="5760"/>
        </w:tabs>
        <w:ind w:left="5760" w:hanging="360"/>
      </w:pPr>
      <w:rPr>
        <w:rFonts w:ascii="Courier New" w:hAnsi="Courier New" w:cs="Courier New" w:hint="default"/>
      </w:rPr>
    </w:lvl>
    <w:lvl w:ilvl="8" w:tplc="B4CC8B0E"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B90111C"/>
    <w:multiLevelType w:val="hybridMultilevel"/>
    <w:tmpl w:val="18E6A9C4"/>
    <w:lvl w:ilvl="0" w:tplc="51D27292">
      <w:start w:val="1"/>
      <w:numFmt w:val="upperLetter"/>
      <w:pStyle w:val="ShortLines"/>
      <w:lvlText w:val="%1."/>
      <w:lvlJc w:val="left"/>
      <w:pPr>
        <w:tabs>
          <w:tab w:val="num" w:pos="1440"/>
        </w:tabs>
        <w:ind w:left="0" w:firstLine="720"/>
      </w:pPr>
      <w:rPr>
        <w:rFonts w:hint="default"/>
      </w:rPr>
    </w:lvl>
    <w:lvl w:ilvl="1" w:tplc="C32AAE58" w:tentative="1">
      <w:start w:val="1"/>
      <w:numFmt w:val="lowerLetter"/>
      <w:lvlText w:val="%2."/>
      <w:lvlJc w:val="left"/>
      <w:pPr>
        <w:tabs>
          <w:tab w:val="num" w:pos="1440"/>
        </w:tabs>
        <w:ind w:left="1440" w:hanging="360"/>
      </w:pPr>
    </w:lvl>
    <w:lvl w:ilvl="2" w:tplc="D8D611A8" w:tentative="1">
      <w:start w:val="1"/>
      <w:numFmt w:val="lowerRoman"/>
      <w:lvlText w:val="%3."/>
      <w:lvlJc w:val="right"/>
      <w:pPr>
        <w:tabs>
          <w:tab w:val="num" w:pos="2160"/>
        </w:tabs>
        <w:ind w:left="2160" w:hanging="180"/>
      </w:pPr>
    </w:lvl>
    <w:lvl w:ilvl="3" w:tplc="A1D6355A" w:tentative="1">
      <w:start w:val="1"/>
      <w:numFmt w:val="decimal"/>
      <w:lvlText w:val="%4."/>
      <w:lvlJc w:val="left"/>
      <w:pPr>
        <w:tabs>
          <w:tab w:val="num" w:pos="2880"/>
        </w:tabs>
        <w:ind w:left="2880" w:hanging="360"/>
      </w:pPr>
    </w:lvl>
    <w:lvl w:ilvl="4" w:tplc="3EB6281E" w:tentative="1">
      <w:start w:val="1"/>
      <w:numFmt w:val="lowerLetter"/>
      <w:lvlText w:val="%5."/>
      <w:lvlJc w:val="left"/>
      <w:pPr>
        <w:tabs>
          <w:tab w:val="num" w:pos="3600"/>
        </w:tabs>
        <w:ind w:left="3600" w:hanging="360"/>
      </w:pPr>
    </w:lvl>
    <w:lvl w:ilvl="5" w:tplc="85347CFA" w:tentative="1">
      <w:start w:val="1"/>
      <w:numFmt w:val="lowerRoman"/>
      <w:lvlText w:val="%6."/>
      <w:lvlJc w:val="right"/>
      <w:pPr>
        <w:tabs>
          <w:tab w:val="num" w:pos="4320"/>
        </w:tabs>
        <w:ind w:left="4320" w:hanging="180"/>
      </w:pPr>
    </w:lvl>
    <w:lvl w:ilvl="6" w:tplc="DF0EC1B6" w:tentative="1">
      <w:start w:val="1"/>
      <w:numFmt w:val="decimal"/>
      <w:lvlText w:val="%7."/>
      <w:lvlJc w:val="left"/>
      <w:pPr>
        <w:tabs>
          <w:tab w:val="num" w:pos="5040"/>
        </w:tabs>
        <w:ind w:left="5040" w:hanging="360"/>
      </w:pPr>
    </w:lvl>
    <w:lvl w:ilvl="7" w:tplc="D45A2F94" w:tentative="1">
      <w:start w:val="1"/>
      <w:numFmt w:val="lowerLetter"/>
      <w:lvlText w:val="%8."/>
      <w:lvlJc w:val="left"/>
      <w:pPr>
        <w:tabs>
          <w:tab w:val="num" w:pos="5760"/>
        </w:tabs>
        <w:ind w:left="5760" w:hanging="360"/>
      </w:pPr>
    </w:lvl>
    <w:lvl w:ilvl="8" w:tplc="B7188F46" w:tentative="1">
      <w:start w:val="1"/>
      <w:numFmt w:val="lowerRoman"/>
      <w:lvlText w:val="%9."/>
      <w:lvlJc w:val="right"/>
      <w:pPr>
        <w:tabs>
          <w:tab w:val="num" w:pos="6480"/>
        </w:tabs>
        <w:ind w:left="6480" w:hanging="180"/>
      </w:pPr>
    </w:lvl>
  </w:abstractNum>
  <w:num w:numId="1" w16cid:durableId="861282701">
    <w:abstractNumId w:val="30"/>
  </w:num>
  <w:num w:numId="2" w16cid:durableId="672802954">
    <w:abstractNumId w:val="15"/>
  </w:num>
  <w:num w:numId="3" w16cid:durableId="1345129046">
    <w:abstractNumId w:val="9"/>
  </w:num>
  <w:num w:numId="4" w16cid:durableId="239674998">
    <w:abstractNumId w:val="7"/>
  </w:num>
  <w:num w:numId="5" w16cid:durableId="195509477">
    <w:abstractNumId w:val="6"/>
  </w:num>
  <w:num w:numId="6" w16cid:durableId="1034114438">
    <w:abstractNumId w:val="5"/>
  </w:num>
  <w:num w:numId="7" w16cid:durableId="700278691">
    <w:abstractNumId w:val="4"/>
  </w:num>
  <w:num w:numId="8" w16cid:durableId="1287079388">
    <w:abstractNumId w:val="8"/>
  </w:num>
  <w:num w:numId="9" w16cid:durableId="688222182">
    <w:abstractNumId w:val="3"/>
  </w:num>
  <w:num w:numId="10" w16cid:durableId="2091849143">
    <w:abstractNumId w:val="2"/>
  </w:num>
  <w:num w:numId="11" w16cid:durableId="1249777452">
    <w:abstractNumId w:val="1"/>
  </w:num>
  <w:num w:numId="12" w16cid:durableId="1846288459">
    <w:abstractNumId w:val="0"/>
  </w:num>
  <w:num w:numId="13" w16cid:durableId="310062488">
    <w:abstractNumId w:val="11"/>
  </w:num>
  <w:num w:numId="14" w16cid:durableId="1684474363">
    <w:abstractNumId w:val="46"/>
  </w:num>
  <w:num w:numId="15" w16cid:durableId="1841120617">
    <w:abstractNumId w:val="12"/>
  </w:num>
  <w:num w:numId="16" w16cid:durableId="765269849">
    <w:abstractNumId w:val="36"/>
  </w:num>
  <w:num w:numId="17" w16cid:durableId="270090468">
    <w:abstractNumId w:val="1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 w16cid:durableId="966006080">
    <w:abstractNumId w:val="31"/>
  </w:num>
  <w:num w:numId="19" w16cid:durableId="1988584362">
    <w:abstractNumId w:val="33"/>
  </w:num>
  <w:num w:numId="20" w16cid:durableId="1904561137">
    <w:abstractNumId w:val="19"/>
  </w:num>
  <w:num w:numId="21" w16cid:durableId="986325636">
    <w:abstractNumId w:val="44"/>
  </w:num>
  <w:num w:numId="22" w16cid:durableId="1909996647">
    <w:abstractNumId w:val="17"/>
  </w:num>
  <w:num w:numId="23" w16cid:durableId="90443033">
    <w:abstractNumId w:val="47"/>
  </w:num>
  <w:num w:numId="24" w16cid:durableId="1438140054">
    <w:abstractNumId w:val="48"/>
  </w:num>
  <w:num w:numId="25" w16cid:durableId="1635328366">
    <w:abstractNumId w:val="49"/>
  </w:num>
  <w:num w:numId="26" w16cid:durableId="1600681336">
    <w:abstractNumId w:val="18"/>
  </w:num>
  <w:num w:numId="27" w16cid:durableId="548956390">
    <w:abstractNumId w:val="50"/>
  </w:num>
  <w:num w:numId="28" w16cid:durableId="1220703408">
    <w:abstractNumId w:val="29"/>
  </w:num>
  <w:num w:numId="29" w16cid:durableId="2068065894">
    <w:abstractNumId w:val="16"/>
  </w:num>
  <w:num w:numId="30" w16cid:durableId="2031838532">
    <w:abstractNumId w:val="20"/>
  </w:num>
  <w:num w:numId="31" w16cid:durableId="1592590504">
    <w:abstractNumId w:val="25"/>
  </w:num>
  <w:num w:numId="32" w16cid:durableId="397244534">
    <w:abstractNumId w:val="32"/>
  </w:num>
  <w:num w:numId="33" w16cid:durableId="1045643869">
    <w:abstractNumId w:val="39"/>
  </w:num>
  <w:num w:numId="34" w16cid:durableId="1077552713">
    <w:abstractNumId w:val="24"/>
  </w:num>
  <w:num w:numId="35" w16cid:durableId="1085146110">
    <w:abstractNumId w:val="21"/>
  </w:num>
  <w:num w:numId="36" w16cid:durableId="1996715761">
    <w:abstractNumId w:val="35"/>
  </w:num>
  <w:num w:numId="37" w16cid:durableId="896818568">
    <w:abstractNumId w:val="28"/>
  </w:num>
  <w:num w:numId="38" w16cid:durableId="325206420">
    <w:abstractNumId w:val="23"/>
  </w:num>
  <w:num w:numId="39" w16cid:durableId="719597323">
    <w:abstractNumId w:val="43"/>
  </w:num>
  <w:num w:numId="40" w16cid:durableId="913126684">
    <w:abstractNumId w:val="27"/>
  </w:num>
  <w:num w:numId="41" w16cid:durableId="1024942700">
    <w:abstractNumId w:val="41"/>
  </w:num>
  <w:num w:numId="42" w16cid:durableId="957906070">
    <w:abstractNumId w:val="26"/>
  </w:num>
  <w:num w:numId="43" w16cid:durableId="5566362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2124038302">
    <w:abstractNumId w:val="25"/>
    <w:lvlOverride w:ilvl="0">
      <w:lvl w:ilvl="0" w:tplc="858CD912">
        <w:start w:val="1"/>
        <w:numFmt w:val="lowerLetter"/>
        <w:lvlText w:val="%1."/>
        <w:lvlJc w:val="left"/>
        <w:pPr>
          <w:ind w:left="1080" w:hanging="360"/>
        </w:pPr>
        <w:rPr>
          <w:rFonts w:hint="default"/>
          <w:b w:val="0"/>
          <w:bCs w:val="0"/>
          <w:color w:val="000000" w:themeColor="text1"/>
          <w:u w:val="none"/>
        </w:rPr>
      </w:lvl>
    </w:lvlOverride>
  </w:num>
  <w:num w:numId="45" w16cid:durableId="1013534391">
    <w:abstractNumId w:val="42"/>
  </w:num>
  <w:num w:numId="46" w16cid:durableId="2021590084">
    <w:abstractNumId w:val="45"/>
  </w:num>
  <w:num w:numId="47" w16cid:durableId="1531649473">
    <w:abstractNumId w:val="40"/>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B06"/>
    <w:rsid w:val="00000247"/>
    <w:rsid w:val="000006D7"/>
    <w:rsid w:val="00000931"/>
    <w:rsid w:val="000009B6"/>
    <w:rsid w:val="00001BC9"/>
    <w:rsid w:val="00003364"/>
    <w:rsid w:val="00003CED"/>
    <w:rsid w:val="00006426"/>
    <w:rsid w:val="00006935"/>
    <w:rsid w:val="000076D7"/>
    <w:rsid w:val="0001137E"/>
    <w:rsid w:val="000118F3"/>
    <w:rsid w:val="000138FD"/>
    <w:rsid w:val="00014CF1"/>
    <w:rsid w:val="00016F35"/>
    <w:rsid w:val="00017A18"/>
    <w:rsid w:val="0002023D"/>
    <w:rsid w:val="0002072C"/>
    <w:rsid w:val="0002086D"/>
    <w:rsid w:val="00022EF2"/>
    <w:rsid w:val="00023CC9"/>
    <w:rsid w:val="000249D3"/>
    <w:rsid w:val="000263D1"/>
    <w:rsid w:val="00026670"/>
    <w:rsid w:val="00030DD3"/>
    <w:rsid w:val="00033F61"/>
    <w:rsid w:val="000342EC"/>
    <w:rsid w:val="0003590E"/>
    <w:rsid w:val="00035B77"/>
    <w:rsid w:val="0003691B"/>
    <w:rsid w:val="00040932"/>
    <w:rsid w:val="0004173E"/>
    <w:rsid w:val="00041D22"/>
    <w:rsid w:val="000471CA"/>
    <w:rsid w:val="0005036C"/>
    <w:rsid w:val="00051FE7"/>
    <w:rsid w:val="00053943"/>
    <w:rsid w:val="00055259"/>
    <w:rsid w:val="0005666F"/>
    <w:rsid w:val="000571CC"/>
    <w:rsid w:val="0005734F"/>
    <w:rsid w:val="00057640"/>
    <w:rsid w:val="000608E6"/>
    <w:rsid w:val="00061C57"/>
    <w:rsid w:val="00062DA6"/>
    <w:rsid w:val="00063E06"/>
    <w:rsid w:val="000644EE"/>
    <w:rsid w:val="000645C5"/>
    <w:rsid w:val="000659DF"/>
    <w:rsid w:val="00066414"/>
    <w:rsid w:val="000673C6"/>
    <w:rsid w:val="00067B36"/>
    <w:rsid w:val="0007045C"/>
    <w:rsid w:val="00070673"/>
    <w:rsid w:val="00071241"/>
    <w:rsid w:val="00071771"/>
    <w:rsid w:val="00071C9A"/>
    <w:rsid w:val="00073BE8"/>
    <w:rsid w:val="00073F4C"/>
    <w:rsid w:val="00074724"/>
    <w:rsid w:val="00075657"/>
    <w:rsid w:val="0007631F"/>
    <w:rsid w:val="0007662F"/>
    <w:rsid w:val="00076987"/>
    <w:rsid w:val="00077968"/>
    <w:rsid w:val="00081471"/>
    <w:rsid w:val="00082F1F"/>
    <w:rsid w:val="0008456E"/>
    <w:rsid w:val="000851AA"/>
    <w:rsid w:val="00086308"/>
    <w:rsid w:val="00090667"/>
    <w:rsid w:val="000926E0"/>
    <w:rsid w:val="00092759"/>
    <w:rsid w:val="00096F4D"/>
    <w:rsid w:val="000A0A34"/>
    <w:rsid w:val="000A390F"/>
    <w:rsid w:val="000A3BFF"/>
    <w:rsid w:val="000A4303"/>
    <w:rsid w:val="000A707F"/>
    <w:rsid w:val="000A7319"/>
    <w:rsid w:val="000B006A"/>
    <w:rsid w:val="000B3E3C"/>
    <w:rsid w:val="000B40B9"/>
    <w:rsid w:val="000B547F"/>
    <w:rsid w:val="000B560C"/>
    <w:rsid w:val="000B64E9"/>
    <w:rsid w:val="000B7407"/>
    <w:rsid w:val="000C1129"/>
    <w:rsid w:val="000C244D"/>
    <w:rsid w:val="000C252A"/>
    <w:rsid w:val="000C4685"/>
    <w:rsid w:val="000C5640"/>
    <w:rsid w:val="000C5DBC"/>
    <w:rsid w:val="000C6808"/>
    <w:rsid w:val="000C7D94"/>
    <w:rsid w:val="000D1B06"/>
    <w:rsid w:val="000D1BA7"/>
    <w:rsid w:val="000D57CD"/>
    <w:rsid w:val="000D5E7D"/>
    <w:rsid w:val="000D77CE"/>
    <w:rsid w:val="000D7FF5"/>
    <w:rsid w:val="000E1AD0"/>
    <w:rsid w:val="000E1FA0"/>
    <w:rsid w:val="000E319D"/>
    <w:rsid w:val="000E3AB5"/>
    <w:rsid w:val="000E4265"/>
    <w:rsid w:val="000E4EE2"/>
    <w:rsid w:val="000E759F"/>
    <w:rsid w:val="000F2755"/>
    <w:rsid w:val="000F426B"/>
    <w:rsid w:val="000F4F17"/>
    <w:rsid w:val="000F776F"/>
    <w:rsid w:val="000F7A05"/>
    <w:rsid w:val="000F7C5F"/>
    <w:rsid w:val="001017A0"/>
    <w:rsid w:val="00103A0C"/>
    <w:rsid w:val="001053E6"/>
    <w:rsid w:val="00105D4D"/>
    <w:rsid w:val="00110A65"/>
    <w:rsid w:val="00111A7E"/>
    <w:rsid w:val="00112D37"/>
    <w:rsid w:val="00114467"/>
    <w:rsid w:val="00120380"/>
    <w:rsid w:val="00122499"/>
    <w:rsid w:val="0012405A"/>
    <w:rsid w:val="00125CB7"/>
    <w:rsid w:val="00125F05"/>
    <w:rsid w:val="001309EF"/>
    <w:rsid w:val="001359ED"/>
    <w:rsid w:val="00136F78"/>
    <w:rsid w:val="00137BB8"/>
    <w:rsid w:val="001411C1"/>
    <w:rsid w:val="00141F3C"/>
    <w:rsid w:val="00142692"/>
    <w:rsid w:val="00143E5A"/>
    <w:rsid w:val="00145077"/>
    <w:rsid w:val="001452A0"/>
    <w:rsid w:val="001470EB"/>
    <w:rsid w:val="001474D9"/>
    <w:rsid w:val="00147DE9"/>
    <w:rsid w:val="00150B75"/>
    <w:rsid w:val="00152793"/>
    <w:rsid w:val="00152D19"/>
    <w:rsid w:val="00154771"/>
    <w:rsid w:val="0015482B"/>
    <w:rsid w:val="00156CAD"/>
    <w:rsid w:val="00160D66"/>
    <w:rsid w:val="001625BC"/>
    <w:rsid w:val="001639E3"/>
    <w:rsid w:val="00163ECE"/>
    <w:rsid w:val="00163F6E"/>
    <w:rsid w:val="001644E3"/>
    <w:rsid w:val="00165520"/>
    <w:rsid w:val="0016623F"/>
    <w:rsid w:val="00167947"/>
    <w:rsid w:val="00170282"/>
    <w:rsid w:val="00170C54"/>
    <w:rsid w:val="0017232C"/>
    <w:rsid w:val="00172ED0"/>
    <w:rsid w:val="00176FB8"/>
    <w:rsid w:val="00180B3C"/>
    <w:rsid w:val="0018162E"/>
    <w:rsid w:val="001825B1"/>
    <w:rsid w:val="00182B95"/>
    <w:rsid w:val="00185AA8"/>
    <w:rsid w:val="00185C34"/>
    <w:rsid w:val="001868BD"/>
    <w:rsid w:val="00192789"/>
    <w:rsid w:val="001934CD"/>
    <w:rsid w:val="001935BF"/>
    <w:rsid w:val="00193F3B"/>
    <w:rsid w:val="00194449"/>
    <w:rsid w:val="00196C27"/>
    <w:rsid w:val="00197644"/>
    <w:rsid w:val="001A0376"/>
    <w:rsid w:val="001A1CB7"/>
    <w:rsid w:val="001A20FA"/>
    <w:rsid w:val="001A2610"/>
    <w:rsid w:val="001A657E"/>
    <w:rsid w:val="001A758B"/>
    <w:rsid w:val="001B1643"/>
    <w:rsid w:val="001B224B"/>
    <w:rsid w:val="001B73FA"/>
    <w:rsid w:val="001C063D"/>
    <w:rsid w:val="001C26BF"/>
    <w:rsid w:val="001C439E"/>
    <w:rsid w:val="001C68B2"/>
    <w:rsid w:val="001C6C1F"/>
    <w:rsid w:val="001C75EC"/>
    <w:rsid w:val="001D1F3A"/>
    <w:rsid w:val="001D3C1E"/>
    <w:rsid w:val="001D665A"/>
    <w:rsid w:val="001D6DA5"/>
    <w:rsid w:val="001D6E5D"/>
    <w:rsid w:val="001E016C"/>
    <w:rsid w:val="001E1993"/>
    <w:rsid w:val="001E269B"/>
    <w:rsid w:val="001E34F2"/>
    <w:rsid w:val="001E3E9C"/>
    <w:rsid w:val="001E428C"/>
    <w:rsid w:val="001E4EBC"/>
    <w:rsid w:val="001E687D"/>
    <w:rsid w:val="001E78F9"/>
    <w:rsid w:val="001F15E3"/>
    <w:rsid w:val="001F2611"/>
    <w:rsid w:val="001F429E"/>
    <w:rsid w:val="001F48DC"/>
    <w:rsid w:val="001F4BA5"/>
    <w:rsid w:val="001F6073"/>
    <w:rsid w:val="001F634C"/>
    <w:rsid w:val="001F65EC"/>
    <w:rsid w:val="001F6903"/>
    <w:rsid w:val="002022D8"/>
    <w:rsid w:val="00202529"/>
    <w:rsid w:val="002034C0"/>
    <w:rsid w:val="00204CC3"/>
    <w:rsid w:val="00210C3E"/>
    <w:rsid w:val="00210D73"/>
    <w:rsid w:val="00216019"/>
    <w:rsid w:val="002178A1"/>
    <w:rsid w:val="002222E2"/>
    <w:rsid w:val="0022300E"/>
    <w:rsid w:val="00223093"/>
    <w:rsid w:val="0022428B"/>
    <w:rsid w:val="00224AB7"/>
    <w:rsid w:val="002324DF"/>
    <w:rsid w:val="00232C48"/>
    <w:rsid w:val="002335BC"/>
    <w:rsid w:val="00234B68"/>
    <w:rsid w:val="00234D0C"/>
    <w:rsid w:val="0023687A"/>
    <w:rsid w:val="002376CC"/>
    <w:rsid w:val="00241C8D"/>
    <w:rsid w:val="002421E8"/>
    <w:rsid w:val="002423C6"/>
    <w:rsid w:val="00244890"/>
    <w:rsid w:val="00247D8B"/>
    <w:rsid w:val="002527E0"/>
    <w:rsid w:val="00253ECB"/>
    <w:rsid w:val="00256CF8"/>
    <w:rsid w:val="00262331"/>
    <w:rsid w:val="002626AD"/>
    <w:rsid w:val="002635BE"/>
    <w:rsid w:val="00264A41"/>
    <w:rsid w:val="00264ECC"/>
    <w:rsid w:val="00265603"/>
    <w:rsid w:val="0026617F"/>
    <w:rsid w:val="002679A1"/>
    <w:rsid w:val="00267D9C"/>
    <w:rsid w:val="00267E92"/>
    <w:rsid w:val="0027122E"/>
    <w:rsid w:val="002726F5"/>
    <w:rsid w:val="0027336B"/>
    <w:rsid w:val="002748A7"/>
    <w:rsid w:val="0027538A"/>
    <w:rsid w:val="00275F61"/>
    <w:rsid w:val="00280C73"/>
    <w:rsid w:val="002817C3"/>
    <w:rsid w:val="0028262A"/>
    <w:rsid w:val="002842B4"/>
    <w:rsid w:val="002843B9"/>
    <w:rsid w:val="002869A1"/>
    <w:rsid w:val="00287E4C"/>
    <w:rsid w:val="00292EFC"/>
    <w:rsid w:val="0029438E"/>
    <w:rsid w:val="00294813"/>
    <w:rsid w:val="00296E41"/>
    <w:rsid w:val="00297326"/>
    <w:rsid w:val="00297DA0"/>
    <w:rsid w:val="002A0477"/>
    <w:rsid w:val="002A11B6"/>
    <w:rsid w:val="002A1B65"/>
    <w:rsid w:val="002A3111"/>
    <w:rsid w:val="002A412F"/>
    <w:rsid w:val="002A43B0"/>
    <w:rsid w:val="002A5001"/>
    <w:rsid w:val="002A6868"/>
    <w:rsid w:val="002A7769"/>
    <w:rsid w:val="002B0ECB"/>
    <w:rsid w:val="002B1839"/>
    <w:rsid w:val="002B340E"/>
    <w:rsid w:val="002B4EB0"/>
    <w:rsid w:val="002B4FF6"/>
    <w:rsid w:val="002B55B0"/>
    <w:rsid w:val="002B5D37"/>
    <w:rsid w:val="002B7333"/>
    <w:rsid w:val="002B7809"/>
    <w:rsid w:val="002B79DD"/>
    <w:rsid w:val="002C0B7C"/>
    <w:rsid w:val="002C217B"/>
    <w:rsid w:val="002C6FFE"/>
    <w:rsid w:val="002C74B6"/>
    <w:rsid w:val="002C77AF"/>
    <w:rsid w:val="002D134B"/>
    <w:rsid w:val="002D1EEE"/>
    <w:rsid w:val="002D2263"/>
    <w:rsid w:val="002D2DCB"/>
    <w:rsid w:val="002D554E"/>
    <w:rsid w:val="002E0479"/>
    <w:rsid w:val="002E1E6E"/>
    <w:rsid w:val="002E1FE3"/>
    <w:rsid w:val="002E20F0"/>
    <w:rsid w:val="002E327C"/>
    <w:rsid w:val="002E3384"/>
    <w:rsid w:val="002E37C8"/>
    <w:rsid w:val="002E3860"/>
    <w:rsid w:val="002E455E"/>
    <w:rsid w:val="002E4E69"/>
    <w:rsid w:val="002E6374"/>
    <w:rsid w:val="002E7339"/>
    <w:rsid w:val="002F06C3"/>
    <w:rsid w:val="002F1997"/>
    <w:rsid w:val="002F2D39"/>
    <w:rsid w:val="002F5684"/>
    <w:rsid w:val="002F5BCC"/>
    <w:rsid w:val="002F60D1"/>
    <w:rsid w:val="0030002F"/>
    <w:rsid w:val="00300ED3"/>
    <w:rsid w:val="003058EE"/>
    <w:rsid w:val="003075A6"/>
    <w:rsid w:val="00310E8A"/>
    <w:rsid w:val="003115E7"/>
    <w:rsid w:val="0031350B"/>
    <w:rsid w:val="00313D83"/>
    <w:rsid w:val="0031487E"/>
    <w:rsid w:val="00315701"/>
    <w:rsid w:val="00316A32"/>
    <w:rsid w:val="00317505"/>
    <w:rsid w:val="003210D6"/>
    <w:rsid w:val="003244CA"/>
    <w:rsid w:val="00324A35"/>
    <w:rsid w:val="003253BB"/>
    <w:rsid w:val="0032693F"/>
    <w:rsid w:val="00327EBB"/>
    <w:rsid w:val="00332EE0"/>
    <w:rsid w:val="00333D78"/>
    <w:rsid w:val="003345D4"/>
    <w:rsid w:val="00335EAB"/>
    <w:rsid w:val="003366E2"/>
    <w:rsid w:val="003369CD"/>
    <w:rsid w:val="00340453"/>
    <w:rsid w:val="00341E53"/>
    <w:rsid w:val="00341FE0"/>
    <w:rsid w:val="00342C29"/>
    <w:rsid w:val="00343031"/>
    <w:rsid w:val="0034347E"/>
    <w:rsid w:val="00345C81"/>
    <w:rsid w:val="003507E6"/>
    <w:rsid w:val="00350F20"/>
    <w:rsid w:val="00352914"/>
    <w:rsid w:val="00353480"/>
    <w:rsid w:val="00354077"/>
    <w:rsid w:val="00354BE9"/>
    <w:rsid w:val="0035641D"/>
    <w:rsid w:val="00356840"/>
    <w:rsid w:val="0035733C"/>
    <w:rsid w:val="00357A5C"/>
    <w:rsid w:val="003601A5"/>
    <w:rsid w:val="00361B1F"/>
    <w:rsid w:val="00362241"/>
    <w:rsid w:val="0036414B"/>
    <w:rsid w:val="00365161"/>
    <w:rsid w:val="003701B9"/>
    <w:rsid w:val="003721AE"/>
    <w:rsid w:val="00372200"/>
    <w:rsid w:val="00375BF4"/>
    <w:rsid w:val="00376268"/>
    <w:rsid w:val="003775CF"/>
    <w:rsid w:val="003807A9"/>
    <w:rsid w:val="00381BB0"/>
    <w:rsid w:val="00382F88"/>
    <w:rsid w:val="0038379C"/>
    <w:rsid w:val="003840F1"/>
    <w:rsid w:val="0038420C"/>
    <w:rsid w:val="00385C40"/>
    <w:rsid w:val="003866F7"/>
    <w:rsid w:val="00387069"/>
    <w:rsid w:val="00387BEC"/>
    <w:rsid w:val="00391507"/>
    <w:rsid w:val="003916C3"/>
    <w:rsid w:val="00391EE1"/>
    <w:rsid w:val="00394943"/>
    <w:rsid w:val="0039630E"/>
    <w:rsid w:val="003A0BEA"/>
    <w:rsid w:val="003A3BC4"/>
    <w:rsid w:val="003A6526"/>
    <w:rsid w:val="003A690B"/>
    <w:rsid w:val="003A790D"/>
    <w:rsid w:val="003B4AF7"/>
    <w:rsid w:val="003B4F26"/>
    <w:rsid w:val="003B769C"/>
    <w:rsid w:val="003C07AB"/>
    <w:rsid w:val="003C16EB"/>
    <w:rsid w:val="003C23EC"/>
    <w:rsid w:val="003C3048"/>
    <w:rsid w:val="003C3632"/>
    <w:rsid w:val="003C3F17"/>
    <w:rsid w:val="003C45B2"/>
    <w:rsid w:val="003C63DC"/>
    <w:rsid w:val="003D04D8"/>
    <w:rsid w:val="003D41B1"/>
    <w:rsid w:val="003D509B"/>
    <w:rsid w:val="003D7259"/>
    <w:rsid w:val="003D72B1"/>
    <w:rsid w:val="003D756B"/>
    <w:rsid w:val="003D7657"/>
    <w:rsid w:val="003D79C0"/>
    <w:rsid w:val="003E1DBE"/>
    <w:rsid w:val="003E30BA"/>
    <w:rsid w:val="003E3780"/>
    <w:rsid w:val="003E6C11"/>
    <w:rsid w:val="003E6C1F"/>
    <w:rsid w:val="003E76F7"/>
    <w:rsid w:val="003F13EF"/>
    <w:rsid w:val="003F191C"/>
    <w:rsid w:val="003F1BBB"/>
    <w:rsid w:val="003F1CC1"/>
    <w:rsid w:val="003F2E31"/>
    <w:rsid w:val="003F3FFE"/>
    <w:rsid w:val="0040126C"/>
    <w:rsid w:val="00403F09"/>
    <w:rsid w:val="0040797E"/>
    <w:rsid w:val="00412229"/>
    <w:rsid w:val="00413988"/>
    <w:rsid w:val="004204B2"/>
    <w:rsid w:val="00420E14"/>
    <w:rsid w:val="00421798"/>
    <w:rsid w:val="00422529"/>
    <w:rsid w:val="00423845"/>
    <w:rsid w:val="00425888"/>
    <w:rsid w:val="0042622D"/>
    <w:rsid w:val="004265CB"/>
    <w:rsid w:val="00426C20"/>
    <w:rsid w:val="00432B6F"/>
    <w:rsid w:val="00434F00"/>
    <w:rsid w:val="00435CA1"/>
    <w:rsid w:val="004371E5"/>
    <w:rsid w:val="00441A7B"/>
    <w:rsid w:val="00442686"/>
    <w:rsid w:val="00442738"/>
    <w:rsid w:val="00443ACF"/>
    <w:rsid w:val="00444458"/>
    <w:rsid w:val="00444BB1"/>
    <w:rsid w:val="004456AB"/>
    <w:rsid w:val="0044714C"/>
    <w:rsid w:val="00447E84"/>
    <w:rsid w:val="00450144"/>
    <w:rsid w:val="00453188"/>
    <w:rsid w:val="00453D01"/>
    <w:rsid w:val="00455D1A"/>
    <w:rsid w:val="004612EA"/>
    <w:rsid w:val="004614B1"/>
    <w:rsid w:val="0046181D"/>
    <w:rsid w:val="00462BA8"/>
    <w:rsid w:val="00463246"/>
    <w:rsid w:val="004649A2"/>
    <w:rsid w:val="00465298"/>
    <w:rsid w:val="0046563A"/>
    <w:rsid w:val="00465F35"/>
    <w:rsid w:val="00466245"/>
    <w:rsid w:val="004666F5"/>
    <w:rsid w:val="00471EA4"/>
    <w:rsid w:val="00472221"/>
    <w:rsid w:val="00472B79"/>
    <w:rsid w:val="00472EEA"/>
    <w:rsid w:val="004739EF"/>
    <w:rsid w:val="00476EF2"/>
    <w:rsid w:val="004775AA"/>
    <w:rsid w:val="00481C46"/>
    <w:rsid w:val="004829B8"/>
    <w:rsid w:val="0048592C"/>
    <w:rsid w:val="00487A86"/>
    <w:rsid w:val="004902EE"/>
    <w:rsid w:val="004929A3"/>
    <w:rsid w:val="00492CE0"/>
    <w:rsid w:val="004949BD"/>
    <w:rsid w:val="004951FD"/>
    <w:rsid w:val="00495DBD"/>
    <w:rsid w:val="004970F3"/>
    <w:rsid w:val="004976A7"/>
    <w:rsid w:val="00497933"/>
    <w:rsid w:val="004A334E"/>
    <w:rsid w:val="004A35AC"/>
    <w:rsid w:val="004A5267"/>
    <w:rsid w:val="004A56CE"/>
    <w:rsid w:val="004A6148"/>
    <w:rsid w:val="004A6330"/>
    <w:rsid w:val="004A687E"/>
    <w:rsid w:val="004A71D5"/>
    <w:rsid w:val="004B239B"/>
    <w:rsid w:val="004B33F5"/>
    <w:rsid w:val="004B3E69"/>
    <w:rsid w:val="004B53F3"/>
    <w:rsid w:val="004C0ECE"/>
    <w:rsid w:val="004C1F75"/>
    <w:rsid w:val="004C2548"/>
    <w:rsid w:val="004C59CD"/>
    <w:rsid w:val="004C6855"/>
    <w:rsid w:val="004D172A"/>
    <w:rsid w:val="004D21F5"/>
    <w:rsid w:val="004D2C7E"/>
    <w:rsid w:val="004D3320"/>
    <w:rsid w:val="004D391B"/>
    <w:rsid w:val="004D4735"/>
    <w:rsid w:val="004D7242"/>
    <w:rsid w:val="004E1A11"/>
    <w:rsid w:val="004E5ED3"/>
    <w:rsid w:val="004E6017"/>
    <w:rsid w:val="004E68C0"/>
    <w:rsid w:val="004E7E5E"/>
    <w:rsid w:val="004F374B"/>
    <w:rsid w:val="004F5BF1"/>
    <w:rsid w:val="004F646B"/>
    <w:rsid w:val="004F6DE4"/>
    <w:rsid w:val="004F7E06"/>
    <w:rsid w:val="00503EA4"/>
    <w:rsid w:val="00505E48"/>
    <w:rsid w:val="00507D7E"/>
    <w:rsid w:val="00510A99"/>
    <w:rsid w:val="005112CB"/>
    <w:rsid w:val="0051239F"/>
    <w:rsid w:val="00514396"/>
    <w:rsid w:val="00515DFB"/>
    <w:rsid w:val="005226B6"/>
    <w:rsid w:val="00522ACB"/>
    <w:rsid w:val="00524495"/>
    <w:rsid w:val="005263F5"/>
    <w:rsid w:val="00531164"/>
    <w:rsid w:val="005341EE"/>
    <w:rsid w:val="00535764"/>
    <w:rsid w:val="005357FF"/>
    <w:rsid w:val="00535CCD"/>
    <w:rsid w:val="00535CE6"/>
    <w:rsid w:val="005377E0"/>
    <w:rsid w:val="00537FCD"/>
    <w:rsid w:val="00540C2F"/>
    <w:rsid w:val="005412E7"/>
    <w:rsid w:val="005424F2"/>
    <w:rsid w:val="00546A1D"/>
    <w:rsid w:val="00546C42"/>
    <w:rsid w:val="005504F2"/>
    <w:rsid w:val="00550EA7"/>
    <w:rsid w:val="00551798"/>
    <w:rsid w:val="0055286C"/>
    <w:rsid w:val="00552C7A"/>
    <w:rsid w:val="00553253"/>
    <w:rsid w:val="00554379"/>
    <w:rsid w:val="005563B4"/>
    <w:rsid w:val="00556DA5"/>
    <w:rsid w:val="005618CA"/>
    <w:rsid w:val="00562255"/>
    <w:rsid w:val="0056324E"/>
    <w:rsid w:val="00564365"/>
    <w:rsid w:val="0056524F"/>
    <w:rsid w:val="005652E9"/>
    <w:rsid w:val="00566206"/>
    <w:rsid w:val="00566F2A"/>
    <w:rsid w:val="005700B5"/>
    <w:rsid w:val="00570795"/>
    <w:rsid w:val="00572439"/>
    <w:rsid w:val="005725BB"/>
    <w:rsid w:val="00572BAC"/>
    <w:rsid w:val="005762A6"/>
    <w:rsid w:val="00576317"/>
    <w:rsid w:val="005805E3"/>
    <w:rsid w:val="005824C6"/>
    <w:rsid w:val="00582B6F"/>
    <w:rsid w:val="0058382B"/>
    <w:rsid w:val="00583AB2"/>
    <w:rsid w:val="0058544C"/>
    <w:rsid w:val="0058598E"/>
    <w:rsid w:val="005914FA"/>
    <w:rsid w:val="00591CF4"/>
    <w:rsid w:val="00594A0F"/>
    <w:rsid w:val="00596CAB"/>
    <w:rsid w:val="005A2412"/>
    <w:rsid w:val="005A390E"/>
    <w:rsid w:val="005A3A5B"/>
    <w:rsid w:val="005A3EA7"/>
    <w:rsid w:val="005A7369"/>
    <w:rsid w:val="005B04FC"/>
    <w:rsid w:val="005B0E18"/>
    <w:rsid w:val="005B36D2"/>
    <w:rsid w:val="005B3EA8"/>
    <w:rsid w:val="005B65DF"/>
    <w:rsid w:val="005C0004"/>
    <w:rsid w:val="005C0F9A"/>
    <w:rsid w:val="005C125A"/>
    <w:rsid w:val="005C343E"/>
    <w:rsid w:val="005C40D8"/>
    <w:rsid w:val="005C4381"/>
    <w:rsid w:val="005C5928"/>
    <w:rsid w:val="005C5F0F"/>
    <w:rsid w:val="005C72FA"/>
    <w:rsid w:val="005D06D8"/>
    <w:rsid w:val="005D33EE"/>
    <w:rsid w:val="005D3C34"/>
    <w:rsid w:val="005D3C43"/>
    <w:rsid w:val="005D6FDF"/>
    <w:rsid w:val="005D7B10"/>
    <w:rsid w:val="005E025A"/>
    <w:rsid w:val="005E31B2"/>
    <w:rsid w:val="005E4A36"/>
    <w:rsid w:val="005E5F6A"/>
    <w:rsid w:val="005E6354"/>
    <w:rsid w:val="005E7075"/>
    <w:rsid w:val="005F48B5"/>
    <w:rsid w:val="005F6CDB"/>
    <w:rsid w:val="00601081"/>
    <w:rsid w:val="00601430"/>
    <w:rsid w:val="00601E68"/>
    <w:rsid w:val="0060243B"/>
    <w:rsid w:val="006037AD"/>
    <w:rsid w:val="00610B1D"/>
    <w:rsid w:val="00611D58"/>
    <w:rsid w:val="0061235C"/>
    <w:rsid w:val="00613E57"/>
    <w:rsid w:val="006140EF"/>
    <w:rsid w:val="0061721B"/>
    <w:rsid w:val="00621028"/>
    <w:rsid w:val="00621ADE"/>
    <w:rsid w:val="00623AC9"/>
    <w:rsid w:val="00624696"/>
    <w:rsid w:val="00627A77"/>
    <w:rsid w:val="00632DDB"/>
    <w:rsid w:val="00634BA6"/>
    <w:rsid w:val="00636861"/>
    <w:rsid w:val="00636B4D"/>
    <w:rsid w:val="00641DAF"/>
    <w:rsid w:val="006429DA"/>
    <w:rsid w:val="006432A2"/>
    <w:rsid w:val="0064382E"/>
    <w:rsid w:val="00643D04"/>
    <w:rsid w:val="006442BD"/>
    <w:rsid w:val="00646127"/>
    <w:rsid w:val="006503FF"/>
    <w:rsid w:val="00650CE0"/>
    <w:rsid w:val="00652737"/>
    <w:rsid w:val="00652A98"/>
    <w:rsid w:val="00652C19"/>
    <w:rsid w:val="00653266"/>
    <w:rsid w:val="00654755"/>
    <w:rsid w:val="00654F1F"/>
    <w:rsid w:val="00656A9D"/>
    <w:rsid w:val="006570D5"/>
    <w:rsid w:val="00660365"/>
    <w:rsid w:val="006608F3"/>
    <w:rsid w:val="00660C3A"/>
    <w:rsid w:val="00660E29"/>
    <w:rsid w:val="00662327"/>
    <w:rsid w:val="006640DA"/>
    <w:rsid w:val="00666E95"/>
    <w:rsid w:val="0066777F"/>
    <w:rsid w:val="00672F41"/>
    <w:rsid w:val="00676FD9"/>
    <w:rsid w:val="00681A42"/>
    <w:rsid w:val="00682953"/>
    <w:rsid w:val="00683098"/>
    <w:rsid w:val="00683EFB"/>
    <w:rsid w:val="00685DE7"/>
    <w:rsid w:val="00686E2A"/>
    <w:rsid w:val="00691098"/>
    <w:rsid w:val="006910BA"/>
    <w:rsid w:val="0069210C"/>
    <w:rsid w:val="00692A9F"/>
    <w:rsid w:val="00692CB7"/>
    <w:rsid w:val="0069392A"/>
    <w:rsid w:val="00693C78"/>
    <w:rsid w:val="0069460E"/>
    <w:rsid w:val="0069727F"/>
    <w:rsid w:val="00697444"/>
    <w:rsid w:val="00697EBB"/>
    <w:rsid w:val="006A1E8B"/>
    <w:rsid w:val="006A352B"/>
    <w:rsid w:val="006A4191"/>
    <w:rsid w:val="006A57C7"/>
    <w:rsid w:val="006A58EF"/>
    <w:rsid w:val="006A7D79"/>
    <w:rsid w:val="006B08A7"/>
    <w:rsid w:val="006B230E"/>
    <w:rsid w:val="006B3E31"/>
    <w:rsid w:val="006B5400"/>
    <w:rsid w:val="006B5FE4"/>
    <w:rsid w:val="006B5FF1"/>
    <w:rsid w:val="006C0F2C"/>
    <w:rsid w:val="006C229A"/>
    <w:rsid w:val="006C515B"/>
    <w:rsid w:val="006C5CA1"/>
    <w:rsid w:val="006C5E28"/>
    <w:rsid w:val="006C6E44"/>
    <w:rsid w:val="006C6F3A"/>
    <w:rsid w:val="006C7168"/>
    <w:rsid w:val="006D3BE2"/>
    <w:rsid w:val="006D4149"/>
    <w:rsid w:val="006D6730"/>
    <w:rsid w:val="006E0856"/>
    <w:rsid w:val="006E3CE3"/>
    <w:rsid w:val="006E449A"/>
    <w:rsid w:val="006E6039"/>
    <w:rsid w:val="006F1BE1"/>
    <w:rsid w:val="006F3ABD"/>
    <w:rsid w:val="006F3E1B"/>
    <w:rsid w:val="006F7AB7"/>
    <w:rsid w:val="0070090E"/>
    <w:rsid w:val="00700AA4"/>
    <w:rsid w:val="00701FF0"/>
    <w:rsid w:val="00702484"/>
    <w:rsid w:val="0070319E"/>
    <w:rsid w:val="007048C2"/>
    <w:rsid w:val="00705253"/>
    <w:rsid w:val="00705E0F"/>
    <w:rsid w:val="00706EF8"/>
    <w:rsid w:val="0071326A"/>
    <w:rsid w:val="007154FD"/>
    <w:rsid w:val="00716380"/>
    <w:rsid w:val="00716F21"/>
    <w:rsid w:val="00716F6E"/>
    <w:rsid w:val="00720667"/>
    <w:rsid w:val="0072105A"/>
    <w:rsid w:val="00724389"/>
    <w:rsid w:val="0072450B"/>
    <w:rsid w:val="0072456C"/>
    <w:rsid w:val="007255CC"/>
    <w:rsid w:val="00725B3B"/>
    <w:rsid w:val="00726139"/>
    <w:rsid w:val="00727BAB"/>
    <w:rsid w:val="00731A7B"/>
    <w:rsid w:val="007325C4"/>
    <w:rsid w:val="00732A95"/>
    <w:rsid w:val="0073325C"/>
    <w:rsid w:val="00735D3B"/>
    <w:rsid w:val="00740B5A"/>
    <w:rsid w:val="007447D9"/>
    <w:rsid w:val="007505D5"/>
    <w:rsid w:val="00750B7F"/>
    <w:rsid w:val="0075256C"/>
    <w:rsid w:val="00754606"/>
    <w:rsid w:val="0076053F"/>
    <w:rsid w:val="0076059A"/>
    <w:rsid w:val="00764670"/>
    <w:rsid w:val="00766948"/>
    <w:rsid w:val="0077202E"/>
    <w:rsid w:val="007727FF"/>
    <w:rsid w:val="00773B62"/>
    <w:rsid w:val="00773CA0"/>
    <w:rsid w:val="007742AF"/>
    <w:rsid w:val="0077466D"/>
    <w:rsid w:val="00775802"/>
    <w:rsid w:val="007832B8"/>
    <w:rsid w:val="00783B27"/>
    <w:rsid w:val="00783EB0"/>
    <w:rsid w:val="00784A54"/>
    <w:rsid w:val="00785728"/>
    <w:rsid w:val="00791F59"/>
    <w:rsid w:val="00793018"/>
    <w:rsid w:val="00793A00"/>
    <w:rsid w:val="00794B95"/>
    <w:rsid w:val="00795E3B"/>
    <w:rsid w:val="00797269"/>
    <w:rsid w:val="0079783E"/>
    <w:rsid w:val="007A282F"/>
    <w:rsid w:val="007A57CF"/>
    <w:rsid w:val="007A6798"/>
    <w:rsid w:val="007A6C56"/>
    <w:rsid w:val="007A6E9E"/>
    <w:rsid w:val="007A7361"/>
    <w:rsid w:val="007A7602"/>
    <w:rsid w:val="007B0BD1"/>
    <w:rsid w:val="007B3B58"/>
    <w:rsid w:val="007B41A4"/>
    <w:rsid w:val="007B43FC"/>
    <w:rsid w:val="007B4F7F"/>
    <w:rsid w:val="007B7D2E"/>
    <w:rsid w:val="007B7DC5"/>
    <w:rsid w:val="007C102D"/>
    <w:rsid w:val="007C1107"/>
    <w:rsid w:val="007C1128"/>
    <w:rsid w:val="007C1552"/>
    <w:rsid w:val="007C3964"/>
    <w:rsid w:val="007C49EF"/>
    <w:rsid w:val="007C5A7E"/>
    <w:rsid w:val="007C5E7A"/>
    <w:rsid w:val="007C611A"/>
    <w:rsid w:val="007C67AC"/>
    <w:rsid w:val="007C6E60"/>
    <w:rsid w:val="007C6F1D"/>
    <w:rsid w:val="007C7BFC"/>
    <w:rsid w:val="007D0E62"/>
    <w:rsid w:val="007D46B8"/>
    <w:rsid w:val="007D4D40"/>
    <w:rsid w:val="007D5840"/>
    <w:rsid w:val="007D7684"/>
    <w:rsid w:val="007D7B5A"/>
    <w:rsid w:val="007E002E"/>
    <w:rsid w:val="007E0546"/>
    <w:rsid w:val="007E0C76"/>
    <w:rsid w:val="007E1FAA"/>
    <w:rsid w:val="007E4956"/>
    <w:rsid w:val="007E4FCF"/>
    <w:rsid w:val="007E6F4B"/>
    <w:rsid w:val="007F0036"/>
    <w:rsid w:val="007F093B"/>
    <w:rsid w:val="007F208F"/>
    <w:rsid w:val="007F2337"/>
    <w:rsid w:val="007F4015"/>
    <w:rsid w:val="007F47A1"/>
    <w:rsid w:val="007F58C3"/>
    <w:rsid w:val="007F620A"/>
    <w:rsid w:val="007F7039"/>
    <w:rsid w:val="008000C5"/>
    <w:rsid w:val="00801D79"/>
    <w:rsid w:val="0080393C"/>
    <w:rsid w:val="008055CC"/>
    <w:rsid w:val="00805CB8"/>
    <w:rsid w:val="00805D66"/>
    <w:rsid w:val="00805DD4"/>
    <w:rsid w:val="008132EB"/>
    <w:rsid w:val="008141E3"/>
    <w:rsid w:val="008142EC"/>
    <w:rsid w:val="00815841"/>
    <w:rsid w:val="00822670"/>
    <w:rsid w:val="00823A49"/>
    <w:rsid w:val="0082404D"/>
    <w:rsid w:val="0082472C"/>
    <w:rsid w:val="0082612B"/>
    <w:rsid w:val="00826EC1"/>
    <w:rsid w:val="00830F47"/>
    <w:rsid w:val="008335BA"/>
    <w:rsid w:val="008356D3"/>
    <w:rsid w:val="00841D88"/>
    <w:rsid w:val="00843AF3"/>
    <w:rsid w:val="00843D06"/>
    <w:rsid w:val="00845332"/>
    <w:rsid w:val="008460AF"/>
    <w:rsid w:val="00846CBD"/>
    <w:rsid w:val="00846F65"/>
    <w:rsid w:val="00847137"/>
    <w:rsid w:val="00851B70"/>
    <w:rsid w:val="00852DFB"/>
    <w:rsid w:val="0085398B"/>
    <w:rsid w:val="0085422B"/>
    <w:rsid w:val="0085479D"/>
    <w:rsid w:val="00854B6A"/>
    <w:rsid w:val="00855228"/>
    <w:rsid w:val="00855699"/>
    <w:rsid w:val="0085688D"/>
    <w:rsid w:val="00856C9D"/>
    <w:rsid w:val="00856EDA"/>
    <w:rsid w:val="00856EDC"/>
    <w:rsid w:val="008609BC"/>
    <w:rsid w:val="00861A05"/>
    <w:rsid w:val="00863E2A"/>
    <w:rsid w:val="0086679A"/>
    <w:rsid w:val="00866EB4"/>
    <w:rsid w:val="008705FB"/>
    <w:rsid w:val="00872EAF"/>
    <w:rsid w:val="00875D0D"/>
    <w:rsid w:val="00877007"/>
    <w:rsid w:val="0087748C"/>
    <w:rsid w:val="00880634"/>
    <w:rsid w:val="00881A23"/>
    <w:rsid w:val="00883C1E"/>
    <w:rsid w:val="008846BA"/>
    <w:rsid w:val="00884A14"/>
    <w:rsid w:val="00885113"/>
    <w:rsid w:val="0089034C"/>
    <w:rsid w:val="008903A7"/>
    <w:rsid w:val="008916DC"/>
    <w:rsid w:val="0089353E"/>
    <w:rsid w:val="00893C1E"/>
    <w:rsid w:val="00894785"/>
    <w:rsid w:val="008953FD"/>
    <w:rsid w:val="008967C0"/>
    <w:rsid w:val="008A2412"/>
    <w:rsid w:val="008A3862"/>
    <w:rsid w:val="008A44A7"/>
    <w:rsid w:val="008A5259"/>
    <w:rsid w:val="008A5E68"/>
    <w:rsid w:val="008A71A7"/>
    <w:rsid w:val="008B08ED"/>
    <w:rsid w:val="008B2645"/>
    <w:rsid w:val="008B5091"/>
    <w:rsid w:val="008B6CA7"/>
    <w:rsid w:val="008C12EB"/>
    <w:rsid w:val="008C3CB3"/>
    <w:rsid w:val="008C47A3"/>
    <w:rsid w:val="008C52AC"/>
    <w:rsid w:val="008D1D1B"/>
    <w:rsid w:val="008D216F"/>
    <w:rsid w:val="008D2519"/>
    <w:rsid w:val="008D3C63"/>
    <w:rsid w:val="008D3ED8"/>
    <w:rsid w:val="008D42D2"/>
    <w:rsid w:val="008D4431"/>
    <w:rsid w:val="008D71F4"/>
    <w:rsid w:val="008E1E93"/>
    <w:rsid w:val="008E2305"/>
    <w:rsid w:val="008E33D8"/>
    <w:rsid w:val="008E507E"/>
    <w:rsid w:val="008E73E0"/>
    <w:rsid w:val="008E7C91"/>
    <w:rsid w:val="008F0BC4"/>
    <w:rsid w:val="008F3280"/>
    <w:rsid w:val="008F4370"/>
    <w:rsid w:val="008F4BC0"/>
    <w:rsid w:val="008F4C68"/>
    <w:rsid w:val="008F55F2"/>
    <w:rsid w:val="008F683F"/>
    <w:rsid w:val="008F7906"/>
    <w:rsid w:val="008F7F3C"/>
    <w:rsid w:val="00900D66"/>
    <w:rsid w:val="00901F87"/>
    <w:rsid w:val="00904D70"/>
    <w:rsid w:val="00905936"/>
    <w:rsid w:val="00905C84"/>
    <w:rsid w:val="00906111"/>
    <w:rsid w:val="00907380"/>
    <w:rsid w:val="009075D7"/>
    <w:rsid w:val="009076E2"/>
    <w:rsid w:val="00907A91"/>
    <w:rsid w:val="00911949"/>
    <w:rsid w:val="009129C9"/>
    <w:rsid w:val="00915FFE"/>
    <w:rsid w:val="00916BA0"/>
    <w:rsid w:val="00921429"/>
    <w:rsid w:val="00921C02"/>
    <w:rsid w:val="00921D24"/>
    <w:rsid w:val="00921F47"/>
    <w:rsid w:val="00922467"/>
    <w:rsid w:val="00923D20"/>
    <w:rsid w:val="009271CD"/>
    <w:rsid w:val="00930BB2"/>
    <w:rsid w:val="00932028"/>
    <w:rsid w:val="00932734"/>
    <w:rsid w:val="00935DC0"/>
    <w:rsid w:val="0093650F"/>
    <w:rsid w:val="00936E0D"/>
    <w:rsid w:val="00942453"/>
    <w:rsid w:val="009426FD"/>
    <w:rsid w:val="009437AB"/>
    <w:rsid w:val="00944FBE"/>
    <w:rsid w:val="009500DF"/>
    <w:rsid w:val="00950D92"/>
    <w:rsid w:val="00953BA5"/>
    <w:rsid w:val="00954A05"/>
    <w:rsid w:val="00957850"/>
    <w:rsid w:val="0096035A"/>
    <w:rsid w:val="00960E3E"/>
    <w:rsid w:val="009630A0"/>
    <w:rsid w:val="009652DB"/>
    <w:rsid w:val="009655AB"/>
    <w:rsid w:val="00967219"/>
    <w:rsid w:val="00967771"/>
    <w:rsid w:val="00970EEF"/>
    <w:rsid w:val="0097171F"/>
    <w:rsid w:val="00971998"/>
    <w:rsid w:val="009720F4"/>
    <w:rsid w:val="00973306"/>
    <w:rsid w:val="009735FE"/>
    <w:rsid w:val="00974F2A"/>
    <w:rsid w:val="00976235"/>
    <w:rsid w:val="00976858"/>
    <w:rsid w:val="00980E11"/>
    <w:rsid w:val="009814B9"/>
    <w:rsid w:val="00981DD9"/>
    <w:rsid w:val="00981E24"/>
    <w:rsid w:val="00982337"/>
    <w:rsid w:val="0098233A"/>
    <w:rsid w:val="00982401"/>
    <w:rsid w:val="0098539E"/>
    <w:rsid w:val="009865B7"/>
    <w:rsid w:val="00987470"/>
    <w:rsid w:val="0098789E"/>
    <w:rsid w:val="00987E09"/>
    <w:rsid w:val="00990857"/>
    <w:rsid w:val="00994353"/>
    <w:rsid w:val="00995CD8"/>
    <w:rsid w:val="00996FE3"/>
    <w:rsid w:val="009A1023"/>
    <w:rsid w:val="009A11DE"/>
    <w:rsid w:val="009A6D56"/>
    <w:rsid w:val="009A701A"/>
    <w:rsid w:val="009B00C1"/>
    <w:rsid w:val="009B02CB"/>
    <w:rsid w:val="009B065F"/>
    <w:rsid w:val="009B32A0"/>
    <w:rsid w:val="009B3D85"/>
    <w:rsid w:val="009B3E8C"/>
    <w:rsid w:val="009B4322"/>
    <w:rsid w:val="009B54EB"/>
    <w:rsid w:val="009C0C11"/>
    <w:rsid w:val="009C2FC2"/>
    <w:rsid w:val="009C3BC9"/>
    <w:rsid w:val="009C4F72"/>
    <w:rsid w:val="009C515D"/>
    <w:rsid w:val="009C73BA"/>
    <w:rsid w:val="009C76B4"/>
    <w:rsid w:val="009C7B3B"/>
    <w:rsid w:val="009D0521"/>
    <w:rsid w:val="009D1C56"/>
    <w:rsid w:val="009D1E72"/>
    <w:rsid w:val="009D4927"/>
    <w:rsid w:val="009D7614"/>
    <w:rsid w:val="009D7935"/>
    <w:rsid w:val="009D7C78"/>
    <w:rsid w:val="009E2F52"/>
    <w:rsid w:val="009E4655"/>
    <w:rsid w:val="009E556D"/>
    <w:rsid w:val="009F0E49"/>
    <w:rsid w:val="009F0FF9"/>
    <w:rsid w:val="009F3C3E"/>
    <w:rsid w:val="009F674A"/>
    <w:rsid w:val="009F77EA"/>
    <w:rsid w:val="00A01159"/>
    <w:rsid w:val="00A01D54"/>
    <w:rsid w:val="00A033CD"/>
    <w:rsid w:val="00A03CD3"/>
    <w:rsid w:val="00A05866"/>
    <w:rsid w:val="00A102BB"/>
    <w:rsid w:val="00A105BF"/>
    <w:rsid w:val="00A12863"/>
    <w:rsid w:val="00A12E0B"/>
    <w:rsid w:val="00A13177"/>
    <w:rsid w:val="00A1593D"/>
    <w:rsid w:val="00A159C2"/>
    <w:rsid w:val="00A1669E"/>
    <w:rsid w:val="00A16F3C"/>
    <w:rsid w:val="00A204D1"/>
    <w:rsid w:val="00A22931"/>
    <w:rsid w:val="00A23EDC"/>
    <w:rsid w:val="00A24186"/>
    <w:rsid w:val="00A2449F"/>
    <w:rsid w:val="00A24D84"/>
    <w:rsid w:val="00A26254"/>
    <w:rsid w:val="00A26D68"/>
    <w:rsid w:val="00A304F3"/>
    <w:rsid w:val="00A31A9F"/>
    <w:rsid w:val="00A354D2"/>
    <w:rsid w:val="00A36829"/>
    <w:rsid w:val="00A41014"/>
    <w:rsid w:val="00A4163B"/>
    <w:rsid w:val="00A43282"/>
    <w:rsid w:val="00A4403F"/>
    <w:rsid w:val="00A444C2"/>
    <w:rsid w:val="00A5229B"/>
    <w:rsid w:val="00A5349C"/>
    <w:rsid w:val="00A553E3"/>
    <w:rsid w:val="00A562F6"/>
    <w:rsid w:val="00A564E9"/>
    <w:rsid w:val="00A57BE0"/>
    <w:rsid w:val="00A609CA"/>
    <w:rsid w:val="00A60BAC"/>
    <w:rsid w:val="00A61E33"/>
    <w:rsid w:val="00A651BC"/>
    <w:rsid w:val="00A66127"/>
    <w:rsid w:val="00A66C1C"/>
    <w:rsid w:val="00A674DC"/>
    <w:rsid w:val="00A705BB"/>
    <w:rsid w:val="00A70CE0"/>
    <w:rsid w:val="00A745C5"/>
    <w:rsid w:val="00A75CD1"/>
    <w:rsid w:val="00A80104"/>
    <w:rsid w:val="00A81BBF"/>
    <w:rsid w:val="00A82A45"/>
    <w:rsid w:val="00A82B27"/>
    <w:rsid w:val="00A84062"/>
    <w:rsid w:val="00A841BD"/>
    <w:rsid w:val="00A9107A"/>
    <w:rsid w:val="00A9127A"/>
    <w:rsid w:val="00A91C4C"/>
    <w:rsid w:val="00A91F70"/>
    <w:rsid w:val="00A931FF"/>
    <w:rsid w:val="00A936AF"/>
    <w:rsid w:val="00A95C0E"/>
    <w:rsid w:val="00A978B2"/>
    <w:rsid w:val="00AA0940"/>
    <w:rsid w:val="00AA120F"/>
    <w:rsid w:val="00AA2029"/>
    <w:rsid w:val="00AA2FA5"/>
    <w:rsid w:val="00AA367E"/>
    <w:rsid w:val="00AA426B"/>
    <w:rsid w:val="00AA43B2"/>
    <w:rsid w:val="00AA468A"/>
    <w:rsid w:val="00AA4FBE"/>
    <w:rsid w:val="00AB0F3E"/>
    <w:rsid w:val="00AB176A"/>
    <w:rsid w:val="00AB4DCB"/>
    <w:rsid w:val="00AB5365"/>
    <w:rsid w:val="00AB5844"/>
    <w:rsid w:val="00AB6C24"/>
    <w:rsid w:val="00AB6E26"/>
    <w:rsid w:val="00AC0FF1"/>
    <w:rsid w:val="00AC285F"/>
    <w:rsid w:val="00AC4466"/>
    <w:rsid w:val="00AC55A7"/>
    <w:rsid w:val="00AC667D"/>
    <w:rsid w:val="00AC7E3D"/>
    <w:rsid w:val="00AD0887"/>
    <w:rsid w:val="00AD31E2"/>
    <w:rsid w:val="00AD3498"/>
    <w:rsid w:val="00AD34A8"/>
    <w:rsid w:val="00AD35ED"/>
    <w:rsid w:val="00AD419F"/>
    <w:rsid w:val="00AD5849"/>
    <w:rsid w:val="00AD66A8"/>
    <w:rsid w:val="00AD72D6"/>
    <w:rsid w:val="00AD777D"/>
    <w:rsid w:val="00AE12E7"/>
    <w:rsid w:val="00AE2773"/>
    <w:rsid w:val="00AE2A02"/>
    <w:rsid w:val="00AE7019"/>
    <w:rsid w:val="00AF0A32"/>
    <w:rsid w:val="00AF1C7B"/>
    <w:rsid w:val="00AF2562"/>
    <w:rsid w:val="00AF4670"/>
    <w:rsid w:val="00AF499E"/>
    <w:rsid w:val="00AF6145"/>
    <w:rsid w:val="00B029BB"/>
    <w:rsid w:val="00B02BB2"/>
    <w:rsid w:val="00B037F5"/>
    <w:rsid w:val="00B0460C"/>
    <w:rsid w:val="00B06D00"/>
    <w:rsid w:val="00B07F5E"/>
    <w:rsid w:val="00B108D9"/>
    <w:rsid w:val="00B10986"/>
    <w:rsid w:val="00B14BD7"/>
    <w:rsid w:val="00B16E93"/>
    <w:rsid w:val="00B212C8"/>
    <w:rsid w:val="00B21F13"/>
    <w:rsid w:val="00B2395A"/>
    <w:rsid w:val="00B23D77"/>
    <w:rsid w:val="00B23F02"/>
    <w:rsid w:val="00B23FF8"/>
    <w:rsid w:val="00B2547C"/>
    <w:rsid w:val="00B2548B"/>
    <w:rsid w:val="00B26C61"/>
    <w:rsid w:val="00B30802"/>
    <w:rsid w:val="00B30B14"/>
    <w:rsid w:val="00B31326"/>
    <w:rsid w:val="00B33CBD"/>
    <w:rsid w:val="00B34269"/>
    <w:rsid w:val="00B34CF9"/>
    <w:rsid w:val="00B37414"/>
    <w:rsid w:val="00B3746F"/>
    <w:rsid w:val="00B411D3"/>
    <w:rsid w:val="00B44777"/>
    <w:rsid w:val="00B4560C"/>
    <w:rsid w:val="00B45F3D"/>
    <w:rsid w:val="00B460A6"/>
    <w:rsid w:val="00B4648F"/>
    <w:rsid w:val="00B477B2"/>
    <w:rsid w:val="00B5102D"/>
    <w:rsid w:val="00B512F9"/>
    <w:rsid w:val="00B5150F"/>
    <w:rsid w:val="00B52585"/>
    <w:rsid w:val="00B525E8"/>
    <w:rsid w:val="00B541EE"/>
    <w:rsid w:val="00B54839"/>
    <w:rsid w:val="00B55354"/>
    <w:rsid w:val="00B55853"/>
    <w:rsid w:val="00B5679D"/>
    <w:rsid w:val="00B56869"/>
    <w:rsid w:val="00B61EC6"/>
    <w:rsid w:val="00B61EE1"/>
    <w:rsid w:val="00B623E2"/>
    <w:rsid w:val="00B62BC0"/>
    <w:rsid w:val="00B63646"/>
    <w:rsid w:val="00B63F33"/>
    <w:rsid w:val="00B651E5"/>
    <w:rsid w:val="00B678FC"/>
    <w:rsid w:val="00B67F75"/>
    <w:rsid w:val="00B7163D"/>
    <w:rsid w:val="00B7368C"/>
    <w:rsid w:val="00B75A70"/>
    <w:rsid w:val="00B7612F"/>
    <w:rsid w:val="00B76B73"/>
    <w:rsid w:val="00B77106"/>
    <w:rsid w:val="00B7799D"/>
    <w:rsid w:val="00B813EB"/>
    <w:rsid w:val="00B81E6B"/>
    <w:rsid w:val="00B82B26"/>
    <w:rsid w:val="00B84396"/>
    <w:rsid w:val="00B91F5D"/>
    <w:rsid w:val="00B94047"/>
    <w:rsid w:val="00B97240"/>
    <w:rsid w:val="00BA5C3F"/>
    <w:rsid w:val="00BA791D"/>
    <w:rsid w:val="00BB25AA"/>
    <w:rsid w:val="00BB3971"/>
    <w:rsid w:val="00BB5CCF"/>
    <w:rsid w:val="00BB6EA2"/>
    <w:rsid w:val="00BC1576"/>
    <w:rsid w:val="00BC316D"/>
    <w:rsid w:val="00BC3574"/>
    <w:rsid w:val="00BC53C2"/>
    <w:rsid w:val="00BC5499"/>
    <w:rsid w:val="00BD1074"/>
    <w:rsid w:val="00BD1E1B"/>
    <w:rsid w:val="00BD27F4"/>
    <w:rsid w:val="00BD3608"/>
    <w:rsid w:val="00BD497F"/>
    <w:rsid w:val="00BD4C6C"/>
    <w:rsid w:val="00BD6240"/>
    <w:rsid w:val="00BD6D7E"/>
    <w:rsid w:val="00BE022B"/>
    <w:rsid w:val="00BE0850"/>
    <w:rsid w:val="00BE08EC"/>
    <w:rsid w:val="00BE1747"/>
    <w:rsid w:val="00BE1DB7"/>
    <w:rsid w:val="00BE2F30"/>
    <w:rsid w:val="00BE3073"/>
    <w:rsid w:val="00BE3479"/>
    <w:rsid w:val="00BE3826"/>
    <w:rsid w:val="00BE423E"/>
    <w:rsid w:val="00BE6FEA"/>
    <w:rsid w:val="00BE7A1E"/>
    <w:rsid w:val="00BF33C3"/>
    <w:rsid w:val="00BF4F27"/>
    <w:rsid w:val="00BF5562"/>
    <w:rsid w:val="00BF5D21"/>
    <w:rsid w:val="00BF6254"/>
    <w:rsid w:val="00C0213C"/>
    <w:rsid w:val="00C04F67"/>
    <w:rsid w:val="00C05EBD"/>
    <w:rsid w:val="00C105E9"/>
    <w:rsid w:val="00C119C8"/>
    <w:rsid w:val="00C11A34"/>
    <w:rsid w:val="00C120DF"/>
    <w:rsid w:val="00C12115"/>
    <w:rsid w:val="00C13FAC"/>
    <w:rsid w:val="00C1451C"/>
    <w:rsid w:val="00C14BA1"/>
    <w:rsid w:val="00C170EB"/>
    <w:rsid w:val="00C17DAD"/>
    <w:rsid w:val="00C17E65"/>
    <w:rsid w:val="00C17FE0"/>
    <w:rsid w:val="00C17FF1"/>
    <w:rsid w:val="00C226D1"/>
    <w:rsid w:val="00C226DB"/>
    <w:rsid w:val="00C22C7B"/>
    <w:rsid w:val="00C22F14"/>
    <w:rsid w:val="00C23437"/>
    <w:rsid w:val="00C246A1"/>
    <w:rsid w:val="00C258E2"/>
    <w:rsid w:val="00C25C0D"/>
    <w:rsid w:val="00C32681"/>
    <w:rsid w:val="00C33174"/>
    <w:rsid w:val="00C336CF"/>
    <w:rsid w:val="00C33C08"/>
    <w:rsid w:val="00C34467"/>
    <w:rsid w:val="00C37225"/>
    <w:rsid w:val="00C40072"/>
    <w:rsid w:val="00C418CA"/>
    <w:rsid w:val="00C42964"/>
    <w:rsid w:val="00C42AEE"/>
    <w:rsid w:val="00C4356A"/>
    <w:rsid w:val="00C43797"/>
    <w:rsid w:val="00C43BEE"/>
    <w:rsid w:val="00C442B6"/>
    <w:rsid w:val="00C45929"/>
    <w:rsid w:val="00C4713A"/>
    <w:rsid w:val="00C50FBA"/>
    <w:rsid w:val="00C51778"/>
    <w:rsid w:val="00C527FF"/>
    <w:rsid w:val="00C565C4"/>
    <w:rsid w:val="00C5725F"/>
    <w:rsid w:val="00C57EB5"/>
    <w:rsid w:val="00C6048D"/>
    <w:rsid w:val="00C617A0"/>
    <w:rsid w:val="00C62D5D"/>
    <w:rsid w:val="00C62F49"/>
    <w:rsid w:val="00C6460B"/>
    <w:rsid w:val="00C65CDB"/>
    <w:rsid w:val="00C665C9"/>
    <w:rsid w:val="00C66617"/>
    <w:rsid w:val="00C67DB5"/>
    <w:rsid w:val="00C707CB"/>
    <w:rsid w:val="00C72409"/>
    <w:rsid w:val="00C731F3"/>
    <w:rsid w:val="00C7567A"/>
    <w:rsid w:val="00C766AF"/>
    <w:rsid w:val="00C77C73"/>
    <w:rsid w:val="00C83143"/>
    <w:rsid w:val="00C84CDF"/>
    <w:rsid w:val="00C84EEA"/>
    <w:rsid w:val="00C84FCC"/>
    <w:rsid w:val="00C854F6"/>
    <w:rsid w:val="00C85F6F"/>
    <w:rsid w:val="00C94DF7"/>
    <w:rsid w:val="00C950C1"/>
    <w:rsid w:val="00C9655F"/>
    <w:rsid w:val="00CA06A4"/>
    <w:rsid w:val="00CA3325"/>
    <w:rsid w:val="00CA35A4"/>
    <w:rsid w:val="00CA3E2C"/>
    <w:rsid w:val="00CB105E"/>
    <w:rsid w:val="00CB345B"/>
    <w:rsid w:val="00CB3B09"/>
    <w:rsid w:val="00CB5954"/>
    <w:rsid w:val="00CB764D"/>
    <w:rsid w:val="00CB7FEB"/>
    <w:rsid w:val="00CC0F31"/>
    <w:rsid w:val="00CC437C"/>
    <w:rsid w:val="00CC43D1"/>
    <w:rsid w:val="00CC4C8D"/>
    <w:rsid w:val="00CD0801"/>
    <w:rsid w:val="00CD3934"/>
    <w:rsid w:val="00CD3A83"/>
    <w:rsid w:val="00CD503D"/>
    <w:rsid w:val="00CD69A9"/>
    <w:rsid w:val="00CE16BF"/>
    <w:rsid w:val="00CE305E"/>
    <w:rsid w:val="00CE4B0F"/>
    <w:rsid w:val="00CE67CA"/>
    <w:rsid w:val="00CF18BD"/>
    <w:rsid w:val="00CF1BEF"/>
    <w:rsid w:val="00CF256A"/>
    <w:rsid w:val="00CF3886"/>
    <w:rsid w:val="00CF5DAB"/>
    <w:rsid w:val="00CF6226"/>
    <w:rsid w:val="00CF693E"/>
    <w:rsid w:val="00D0436B"/>
    <w:rsid w:val="00D048E8"/>
    <w:rsid w:val="00D062B5"/>
    <w:rsid w:val="00D0719C"/>
    <w:rsid w:val="00D10584"/>
    <w:rsid w:val="00D109B6"/>
    <w:rsid w:val="00D10AEA"/>
    <w:rsid w:val="00D113AB"/>
    <w:rsid w:val="00D11CEA"/>
    <w:rsid w:val="00D1485E"/>
    <w:rsid w:val="00D14A95"/>
    <w:rsid w:val="00D15BA9"/>
    <w:rsid w:val="00D15F6D"/>
    <w:rsid w:val="00D160A1"/>
    <w:rsid w:val="00D16A93"/>
    <w:rsid w:val="00D17B34"/>
    <w:rsid w:val="00D230C1"/>
    <w:rsid w:val="00D234B3"/>
    <w:rsid w:val="00D2370A"/>
    <w:rsid w:val="00D241AD"/>
    <w:rsid w:val="00D2524B"/>
    <w:rsid w:val="00D26437"/>
    <w:rsid w:val="00D26648"/>
    <w:rsid w:val="00D27315"/>
    <w:rsid w:val="00D30399"/>
    <w:rsid w:val="00D30592"/>
    <w:rsid w:val="00D30C00"/>
    <w:rsid w:val="00D31A55"/>
    <w:rsid w:val="00D33364"/>
    <w:rsid w:val="00D35873"/>
    <w:rsid w:val="00D3687F"/>
    <w:rsid w:val="00D37FF0"/>
    <w:rsid w:val="00D40132"/>
    <w:rsid w:val="00D40509"/>
    <w:rsid w:val="00D40965"/>
    <w:rsid w:val="00D45601"/>
    <w:rsid w:val="00D45BD9"/>
    <w:rsid w:val="00D46167"/>
    <w:rsid w:val="00D46712"/>
    <w:rsid w:val="00D4688E"/>
    <w:rsid w:val="00D52030"/>
    <w:rsid w:val="00D533B9"/>
    <w:rsid w:val="00D539F2"/>
    <w:rsid w:val="00D60147"/>
    <w:rsid w:val="00D61662"/>
    <w:rsid w:val="00D61BA8"/>
    <w:rsid w:val="00D62C19"/>
    <w:rsid w:val="00D64586"/>
    <w:rsid w:val="00D67844"/>
    <w:rsid w:val="00D72F5D"/>
    <w:rsid w:val="00D73A8F"/>
    <w:rsid w:val="00D752A0"/>
    <w:rsid w:val="00D753C6"/>
    <w:rsid w:val="00D75846"/>
    <w:rsid w:val="00D83ECD"/>
    <w:rsid w:val="00D848C5"/>
    <w:rsid w:val="00D84F0A"/>
    <w:rsid w:val="00D928E9"/>
    <w:rsid w:val="00D941EA"/>
    <w:rsid w:val="00D96858"/>
    <w:rsid w:val="00D97E5E"/>
    <w:rsid w:val="00DA2609"/>
    <w:rsid w:val="00DA2B9E"/>
    <w:rsid w:val="00DA585C"/>
    <w:rsid w:val="00DA719B"/>
    <w:rsid w:val="00DA75DF"/>
    <w:rsid w:val="00DA7895"/>
    <w:rsid w:val="00DB3429"/>
    <w:rsid w:val="00DB4830"/>
    <w:rsid w:val="00DB49BD"/>
    <w:rsid w:val="00DB52DC"/>
    <w:rsid w:val="00DB646C"/>
    <w:rsid w:val="00DB77C1"/>
    <w:rsid w:val="00DC02DA"/>
    <w:rsid w:val="00DC0D5B"/>
    <w:rsid w:val="00DC138C"/>
    <w:rsid w:val="00DC1F36"/>
    <w:rsid w:val="00DC2076"/>
    <w:rsid w:val="00DC2CA2"/>
    <w:rsid w:val="00DC3316"/>
    <w:rsid w:val="00DC3F35"/>
    <w:rsid w:val="00DC485F"/>
    <w:rsid w:val="00DC6721"/>
    <w:rsid w:val="00DC79BA"/>
    <w:rsid w:val="00DD20B7"/>
    <w:rsid w:val="00DD3206"/>
    <w:rsid w:val="00DD3C04"/>
    <w:rsid w:val="00DD43E6"/>
    <w:rsid w:val="00DD4A60"/>
    <w:rsid w:val="00DD54FF"/>
    <w:rsid w:val="00DD6001"/>
    <w:rsid w:val="00DE1A3C"/>
    <w:rsid w:val="00DE1BEE"/>
    <w:rsid w:val="00DE2446"/>
    <w:rsid w:val="00DE2755"/>
    <w:rsid w:val="00DE554B"/>
    <w:rsid w:val="00DE62DE"/>
    <w:rsid w:val="00DF1893"/>
    <w:rsid w:val="00DF56ED"/>
    <w:rsid w:val="00DF59A0"/>
    <w:rsid w:val="00DF5C7E"/>
    <w:rsid w:val="00DF6CB2"/>
    <w:rsid w:val="00DF6DD6"/>
    <w:rsid w:val="00E005DF"/>
    <w:rsid w:val="00E01DB3"/>
    <w:rsid w:val="00E03964"/>
    <w:rsid w:val="00E06439"/>
    <w:rsid w:val="00E0759D"/>
    <w:rsid w:val="00E12BCB"/>
    <w:rsid w:val="00E14707"/>
    <w:rsid w:val="00E14D1E"/>
    <w:rsid w:val="00E17E23"/>
    <w:rsid w:val="00E21561"/>
    <w:rsid w:val="00E27E78"/>
    <w:rsid w:val="00E300C6"/>
    <w:rsid w:val="00E318BF"/>
    <w:rsid w:val="00E322A3"/>
    <w:rsid w:val="00E33598"/>
    <w:rsid w:val="00E3408B"/>
    <w:rsid w:val="00E34303"/>
    <w:rsid w:val="00E3473D"/>
    <w:rsid w:val="00E3503A"/>
    <w:rsid w:val="00E35A14"/>
    <w:rsid w:val="00E36730"/>
    <w:rsid w:val="00E36979"/>
    <w:rsid w:val="00E36AF9"/>
    <w:rsid w:val="00E371A6"/>
    <w:rsid w:val="00E379CB"/>
    <w:rsid w:val="00E40576"/>
    <w:rsid w:val="00E41417"/>
    <w:rsid w:val="00E41CFA"/>
    <w:rsid w:val="00E41DDB"/>
    <w:rsid w:val="00E439FF"/>
    <w:rsid w:val="00E45338"/>
    <w:rsid w:val="00E45550"/>
    <w:rsid w:val="00E45A86"/>
    <w:rsid w:val="00E46C96"/>
    <w:rsid w:val="00E46CBE"/>
    <w:rsid w:val="00E475F9"/>
    <w:rsid w:val="00E5004A"/>
    <w:rsid w:val="00E51F77"/>
    <w:rsid w:val="00E52585"/>
    <w:rsid w:val="00E53C30"/>
    <w:rsid w:val="00E544BC"/>
    <w:rsid w:val="00E54FE2"/>
    <w:rsid w:val="00E57F25"/>
    <w:rsid w:val="00E60B7C"/>
    <w:rsid w:val="00E62471"/>
    <w:rsid w:val="00E625DA"/>
    <w:rsid w:val="00E644D0"/>
    <w:rsid w:val="00E659CA"/>
    <w:rsid w:val="00E673A2"/>
    <w:rsid w:val="00E67C8D"/>
    <w:rsid w:val="00E70219"/>
    <w:rsid w:val="00E761A7"/>
    <w:rsid w:val="00E76BF9"/>
    <w:rsid w:val="00E771C0"/>
    <w:rsid w:val="00E80E93"/>
    <w:rsid w:val="00E80F0F"/>
    <w:rsid w:val="00E81B67"/>
    <w:rsid w:val="00E821DD"/>
    <w:rsid w:val="00E828B3"/>
    <w:rsid w:val="00E82A47"/>
    <w:rsid w:val="00E925FF"/>
    <w:rsid w:val="00E92F0E"/>
    <w:rsid w:val="00E93137"/>
    <w:rsid w:val="00E95422"/>
    <w:rsid w:val="00E9598E"/>
    <w:rsid w:val="00EA1BD5"/>
    <w:rsid w:val="00EA4BAE"/>
    <w:rsid w:val="00EA5FC1"/>
    <w:rsid w:val="00EA634E"/>
    <w:rsid w:val="00EA6F37"/>
    <w:rsid w:val="00EA782A"/>
    <w:rsid w:val="00EA7DB6"/>
    <w:rsid w:val="00EB1AE0"/>
    <w:rsid w:val="00EB7733"/>
    <w:rsid w:val="00EC077A"/>
    <w:rsid w:val="00ED1C89"/>
    <w:rsid w:val="00ED2FDF"/>
    <w:rsid w:val="00ED339B"/>
    <w:rsid w:val="00ED377E"/>
    <w:rsid w:val="00ED5A0F"/>
    <w:rsid w:val="00ED629B"/>
    <w:rsid w:val="00ED63FE"/>
    <w:rsid w:val="00ED6D02"/>
    <w:rsid w:val="00EE343D"/>
    <w:rsid w:val="00EE3FB6"/>
    <w:rsid w:val="00EE57BF"/>
    <w:rsid w:val="00EE6C38"/>
    <w:rsid w:val="00EE7392"/>
    <w:rsid w:val="00EF2D4D"/>
    <w:rsid w:val="00EF391D"/>
    <w:rsid w:val="00F03BF5"/>
    <w:rsid w:val="00F0531E"/>
    <w:rsid w:val="00F0797E"/>
    <w:rsid w:val="00F07C53"/>
    <w:rsid w:val="00F14909"/>
    <w:rsid w:val="00F1702C"/>
    <w:rsid w:val="00F2170C"/>
    <w:rsid w:val="00F21C27"/>
    <w:rsid w:val="00F246FE"/>
    <w:rsid w:val="00F25878"/>
    <w:rsid w:val="00F260E6"/>
    <w:rsid w:val="00F27580"/>
    <w:rsid w:val="00F3269C"/>
    <w:rsid w:val="00F32948"/>
    <w:rsid w:val="00F350BB"/>
    <w:rsid w:val="00F35746"/>
    <w:rsid w:val="00F40AC3"/>
    <w:rsid w:val="00F41C83"/>
    <w:rsid w:val="00F4220C"/>
    <w:rsid w:val="00F43041"/>
    <w:rsid w:val="00F43987"/>
    <w:rsid w:val="00F44111"/>
    <w:rsid w:val="00F45EB9"/>
    <w:rsid w:val="00F4798B"/>
    <w:rsid w:val="00F510DD"/>
    <w:rsid w:val="00F511DF"/>
    <w:rsid w:val="00F51A53"/>
    <w:rsid w:val="00F530BF"/>
    <w:rsid w:val="00F57CE0"/>
    <w:rsid w:val="00F57F60"/>
    <w:rsid w:val="00F62B2F"/>
    <w:rsid w:val="00F6303E"/>
    <w:rsid w:val="00F63109"/>
    <w:rsid w:val="00F638E5"/>
    <w:rsid w:val="00F64EED"/>
    <w:rsid w:val="00F65D5D"/>
    <w:rsid w:val="00F66123"/>
    <w:rsid w:val="00F66848"/>
    <w:rsid w:val="00F66891"/>
    <w:rsid w:val="00F66C72"/>
    <w:rsid w:val="00F704BE"/>
    <w:rsid w:val="00F709BE"/>
    <w:rsid w:val="00F7378F"/>
    <w:rsid w:val="00F73B9A"/>
    <w:rsid w:val="00F73E2A"/>
    <w:rsid w:val="00F74781"/>
    <w:rsid w:val="00F75B53"/>
    <w:rsid w:val="00F76B5F"/>
    <w:rsid w:val="00F8477E"/>
    <w:rsid w:val="00F860EE"/>
    <w:rsid w:val="00F911CA"/>
    <w:rsid w:val="00F91D87"/>
    <w:rsid w:val="00F94242"/>
    <w:rsid w:val="00F9492C"/>
    <w:rsid w:val="00F956FA"/>
    <w:rsid w:val="00F97860"/>
    <w:rsid w:val="00FA0B7C"/>
    <w:rsid w:val="00FA1D62"/>
    <w:rsid w:val="00FA4A74"/>
    <w:rsid w:val="00FA4EC9"/>
    <w:rsid w:val="00FB0956"/>
    <w:rsid w:val="00FB15ED"/>
    <w:rsid w:val="00FB286E"/>
    <w:rsid w:val="00FB28A7"/>
    <w:rsid w:val="00FB294B"/>
    <w:rsid w:val="00FB374D"/>
    <w:rsid w:val="00FB467C"/>
    <w:rsid w:val="00FB54AD"/>
    <w:rsid w:val="00FC17AC"/>
    <w:rsid w:val="00FC31A6"/>
    <w:rsid w:val="00FC4C87"/>
    <w:rsid w:val="00FC6B7C"/>
    <w:rsid w:val="00FD076E"/>
    <w:rsid w:val="00FD2CAD"/>
    <w:rsid w:val="00FD374C"/>
    <w:rsid w:val="00FD3822"/>
    <w:rsid w:val="00FD4577"/>
    <w:rsid w:val="00FE1588"/>
    <w:rsid w:val="00FE166A"/>
    <w:rsid w:val="00FE1DAE"/>
    <w:rsid w:val="00FE297E"/>
    <w:rsid w:val="00FE34F3"/>
    <w:rsid w:val="00FE374E"/>
    <w:rsid w:val="00FE4438"/>
    <w:rsid w:val="00FE4442"/>
    <w:rsid w:val="00FE74ED"/>
    <w:rsid w:val="00FF22E1"/>
    <w:rsid w:val="00FF22EA"/>
    <w:rsid w:val="00FF320F"/>
    <w:rsid w:val="00FF33B4"/>
    <w:rsid w:val="00FF3E9E"/>
    <w:rsid w:val="00FF49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AC358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caption" w:qFormat="1"/>
    <w:lsdException w:name="Title" w:qFormat="1"/>
    <w:lsdException w:name="Signature" w:qFormat="1"/>
    <w:lsdException w:name="Subtitle" w:qFormat="1"/>
    <w:lsdException w:name="Hyperlink" w:uiPriority="99"/>
    <w:lsdException w:name="Strong" w:qFormat="1"/>
    <w:lsdException w:name="Emphasis" w:qFormat="1"/>
    <w:lsdException w:name="Plain Text"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paragraph" w:styleId="Heading1">
    <w:name w:val="heading 1"/>
    <w:basedOn w:val="Normal"/>
    <w:next w:val="BodyText"/>
    <w:qFormat/>
    <w:rsid w:val="00D15BA9"/>
    <w:pPr>
      <w:keepNext/>
      <w:numPr>
        <w:numId w:val="2"/>
      </w:numPr>
      <w:spacing w:before="240" w:after="60"/>
      <w:outlineLvl w:val="0"/>
    </w:pPr>
    <w:rPr>
      <w:rFonts w:cs="Arial"/>
      <w:b/>
      <w:bCs/>
      <w:kern w:val="32"/>
    </w:rPr>
  </w:style>
  <w:style w:type="paragraph" w:styleId="Heading2">
    <w:name w:val="heading 2"/>
    <w:basedOn w:val="Normal"/>
    <w:next w:val="BodyText"/>
    <w:qFormat/>
    <w:pPr>
      <w:keepNext/>
      <w:numPr>
        <w:ilvl w:val="1"/>
        <w:numId w:val="2"/>
      </w:numPr>
      <w:spacing w:before="240" w:after="60"/>
      <w:outlineLvl w:val="1"/>
    </w:pPr>
    <w:rPr>
      <w:rFonts w:cs="Arial"/>
      <w:bCs/>
      <w:i/>
      <w:iCs/>
    </w:rPr>
  </w:style>
  <w:style w:type="paragraph" w:styleId="Heading3">
    <w:name w:val="heading 3"/>
    <w:basedOn w:val="Normal"/>
    <w:next w:val="BodyText"/>
    <w:qFormat/>
    <w:pPr>
      <w:keepNext/>
      <w:numPr>
        <w:ilvl w:val="2"/>
        <w:numId w:val="2"/>
      </w:numPr>
      <w:spacing w:before="240" w:after="60"/>
      <w:ind w:left="0" w:firstLine="0"/>
      <w:outlineLvl w:val="2"/>
    </w:pPr>
    <w:rPr>
      <w:rFonts w:cs="Arial"/>
      <w:b/>
      <w:bCs/>
    </w:rPr>
  </w:style>
  <w:style w:type="paragraph" w:styleId="Heading4">
    <w:name w:val="heading 4"/>
    <w:basedOn w:val="Normal"/>
    <w:next w:val="BodyText"/>
    <w:qFormat/>
    <w:pPr>
      <w:keepNext/>
      <w:numPr>
        <w:ilvl w:val="3"/>
        <w:numId w:val="2"/>
      </w:numPr>
      <w:spacing w:before="240" w:after="60"/>
      <w:ind w:left="0" w:firstLine="0"/>
      <w:outlineLvl w:val="3"/>
    </w:pPr>
    <w:rPr>
      <w:b/>
      <w:bCs/>
    </w:rPr>
  </w:style>
  <w:style w:type="paragraph" w:styleId="Heading5">
    <w:name w:val="heading 5"/>
    <w:basedOn w:val="Normal"/>
    <w:next w:val="BodyText"/>
    <w:qFormat/>
    <w:pPr>
      <w:numPr>
        <w:ilvl w:val="4"/>
        <w:numId w:val="2"/>
      </w:numPr>
      <w:spacing w:before="240" w:after="60"/>
      <w:ind w:left="0" w:firstLine="0"/>
      <w:outlineLvl w:val="4"/>
    </w:pPr>
    <w:rPr>
      <w:b/>
      <w:bCs/>
      <w:i/>
      <w:iCs/>
      <w:szCs w:val="26"/>
    </w:rPr>
  </w:style>
  <w:style w:type="paragraph" w:styleId="Heading6">
    <w:name w:val="heading 6"/>
    <w:basedOn w:val="Normal"/>
    <w:next w:val="Normal"/>
    <w:qFormat/>
    <w:pPr>
      <w:numPr>
        <w:ilvl w:val="5"/>
        <w:numId w:val="2"/>
      </w:numPr>
      <w:spacing w:before="240" w:after="60"/>
      <w:ind w:left="0" w:firstLine="0"/>
      <w:outlineLvl w:val="5"/>
    </w:pPr>
    <w:rPr>
      <w:b/>
      <w:bCs/>
      <w:szCs w:val="22"/>
    </w:rPr>
  </w:style>
  <w:style w:type="paragraph" w:styleId="Heading7">
    <w:name w:val="heading 7"/>
    <w:aliases w:val="Simple arabic numbers,Simple Arabic Numbers"/>
    <w:basedOn w:val="Normal"/>
    <w:next w:val="Normal"/>
    <w:qFormat/>
    <w:pPr>
      <w:numPr>
        <w:ilvl w:val="6"/>
        <w:numId w:val="2"/>
      </w:numPr>
      <w:spacing w:before="240" w:after="60"/>
      <w:ind w:left="0" w:firstLine="0"/>
      <w:outlineLvl w:val="6"/>
    </w:pPr>
  </w:style>
  <w:style w:type="paragraph" w:styleId="Heading8">
    <w:name w:val="heading 8"/>
    <w:aliases w:val="Simple alpha numbers"/>
    <w:basedOn w:val="Normal"/>
    <w:next w:val="Normal"/>
    <w:qFormat/>
    <w:pPr>
      <w:numPr>
        <w:ilvl w:val="7"/>
        <w:numId w:val="2"/>
      </w:numPr>
      <w:spacing w:before="240" w:after="60"/>
      <w:ind w:left="0" w:firstLine="0"/>
      <w:outlineLvl w:val="7"/>
    </w:pPr>
    <w:rPr>
      <w:i/>
      <w:iCs/>
    </w:rPr>
  </w:style>
  <w:style w:type="paragraph" w:styleId="Heading9">
    <w:name w:val="heading 9"/>
    <w:aliases w:val="Simple (sm) roman numbers"/>
    <w:basedOn w:val="Normal"/>
    <w:next w:val="Normal"/>
    <w:qFormat/>
    <w:pPr>
      <w:numPr>
        <w:ilvl w:val="8"/>
        <w:numId w:val="2"/>
      </w:numPr>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
    <w:name w:val="Body Text First Indent"/>
    <w:basedOn w:val="BodyText"/>
    <w:link w:val="BodyTextFirstIndentChar"/>
    <w:pPr>
      <w:ind w:right="-720" w:firstLine="720"/>
      <w:jc w:val="both"/>
    </w:pPr>
  </w:style>
  <w:style w:type="paragraph" w:customStyle="1" w:styleId="BodyCenter">
    <w:name w:val="Body Center"/>
    <w:basedOn w:val="Normal"/>
    <w:pPr>
      <w:jc w:val="center"/>
    </w:pPr>
    <w:rPr>
      <w:i/>
      <w:szCs w:val="20"/>
    </w:rPr>
  </w:style>
  <w:style w:type="table" w:styleId="TableSimple3">
    <w:name w:val="Table Simple 3"/>
    <w:basedOn w:val="TableNormal"/>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Grid5">
    <w:name w:val="Table Grid 5"/>
    <w:basedOn w:val="TableNormal"/>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styleId="HTMLAddress">
    <w:name w:val="HTML Address"/>
    <w:basedOn w:val="Normal"/>
    <w:rPr>
      <w:i/>
      <w:iCs/>
    </w:rPr>
  </w:style>
  <w:style w:type="paragraph" w:styleId="BodyTextFirstIndent2">
    <w:name w:val="Body Text First Indent 2"/>
    <w:basedOn w:val="BodyText"/>
    <w:pPr>
      <w:spacing w:line="480" w:lineRule="auto"/>
      <w:ind w:firstLine="720"/>
    </w:pPr>
  </w:style>
  <w:style w:type="paragraph" w:customStyle="1" w:styleId="Arial16B">
    <w:name w:val="Arial16B"/>
    <w:basedOn w:val="Normal"/>
    <w:pPr>
      <w:spacing w:before="1220" w:after="240"/>
      <w:jc w:val="center"/>
    </w:pPr>
    <w:rPr>
      <w:rFonts w:cs="Arial"/>
      <w:b/>
      <w:smallCaps/>
      <w:sz w:val="32"/>
      <w:szCs w:val="32"/>
    </w:rPr>
  </w:style>
  <w:style w:type="paragraph" w:styleId="Salutation">
    <w:name w:val="Salutation"/>
    <w:basedOn w:val="Normal"/>
    <w:next w:val="Normal"/>
  </w:style>
  <w:style w:type="paragraph" w:customStyle="1" w:styleId="h3bullets">
    <w:name w:val="h3bullets"/>
    <w:basedOn w:val="H2text"/>
    <w:pPr>
      <w:widowControl/>
      <w:tabs>
        <w:tab w:val="left" w:pos="432"/>
      </w:tabs>
      <w:ind w:left="1800" w:hanging="432"/>
    </w:pPr>
  </w:style>
  <w:style w:type="paragraph" w:styleId="Index1">
    <w:name w:val="index 1"/>
    <w:basedOn w:val="Normal"/>
    <w:next w:val="Normal"/>
    <w:autoRedefine/>
    <w:pPr>
      <w:ind w:left="240" w:hanging="240"/>
    </w:pPr>
  </w:style>
  <w:style w:type="paragraph" w:customStyle="1" w:styleId="SectionLabel">
    <w:name w:val="Section Label"/>
    <w:basedOn w:val="HeadingBase"/>
    <w:next w:val="BodyText"/>
    <w:pPr>
      <w:spacing w:before="400" w:after="440"/>
    </w:pPr>
    <w:rPr>
      <w:rFonts w:ascii="Times New Roman" w:hAnsi="Times New Roman"/>
      <w:spacing w:val="-30"/>
      <w:sz w:val="60"/>
    </w:rPr>
  </w:style>
  <w:style w:type="paragraph" w:styleId="FootnoteText">
    <w:name w:val="footnote text"/>
    <w:basedOn w:val="BodyText"/>
  </w:style>
  <w:style w:type="paragraph" w:styleId="BalloonText">
    <w:name w:val="Balloon Text"/>
    <w:basedOn w:val="Normal"/>
    <w:rPr>
      <w:rFonts w:ascii="Tahoma" w:hAnsi="Tahoma" w:cs="Tahoma"/>
      <w:sz w:val="16"/>
      <w:szCs w:val="16"/>
    </w:rPr>
  </w:style>
  <w:style w:type="paragraph" w:styleId="BodyTextIndent">
    <w:name w:val="Body Text Indent"/>
    <w:basedOn w:val="BodyText"/>
    <w:next w:val="BodyTextFirstIndent"/>
    <w:pPr>
      <w:ind w:left="720" w:right="720"/>
    </w:pPr>
  </w:style>
  <w:style w:type="character" w:styleId="Hyperlink">
    <w:name w:val="Hyperlink"/>
    <w:uiPriority w:val="99"/>
    <w:rPr>
      <w:color w:val="0000FF"/>
      <w:u w:val="single"/>
    </w:rPr>
  </w:style>
  <w:style w:type="paragraph" w:customStyle="1" w:styleId="Legal2Cont9">
    <w:name w:val="Legal2 Cont 9"/>
    <w:basedOn w:val="Legal2Cont8"/>
  </w:style>
  <w:style w:type="paragraph" w:customStyle="1" w:styleId="Tab2">
    <w:name w:val="Tab 2"/>
    <w:basedOn w:val="Normal"/>
    <w:pPr>
      <w:tabs>
        <w:tab w:val="left" w:pos="2880"/>
      </w:tabs>
      <w:spacing w:after="240"/>
    </w:pPr>
  </w:style>
  <w:style w:type="character" w:styleId="HTMLAcronym">
    <w:name w:val="HTML Acronym"/>
    <w:basedOn w:val="DefaultParagraphFont"/>
  </w:style>
  <w:style w:type="numbering" w:styleId="111111">
    <w:name w:val="Outline List 2"/>
    <w:aliases w:val="1 / 1.1 / A"/>
    <w:basedOn w:val="NoList"/>
    <w:pPr>
      <w:numPr>
        <w:numId w:val="29"/>
      </w:numPr>
    </w:pPr>
  </w:style>
  <w:style w:type="paragraph" w:customStyle="1" w:styleId="Header1">
    <w:name w:val="Header_1"/>
    <w:uiPriority w:val="99"/>
    <w:pPr>
      <w:tabs>
        <w:tab w:val="center" w:pos="4680"/>
        <w:tab w:val="right" w:pos="9360"/>
      </w:tabs>
    </w:pPr>
    <w:rPr>
      <w:rFonts w:ascii="Arial" w:hAnsi="Arial"/>
      <w:sz w:val="24"/>
      <w:szCs w:val="24"/>
      <w:lang w:val="x-none" w:eastAsia="x-none"/>
    </w:rPr>
  </w:style>
  <w:style w:type="paragraph" w:customStyle="1" w:styleId="Notices">
    <w:name w:val="Notices"/>
    <w:basedOn w:val="Normal"/>
    <w:pPr>
      <w:keepLines/>
      <w:tabs>
        <w:tab w:val="left" w:pos="2160"/>
        <w:tab w:val="right" w:pos="7920"/>
      </w:tabs>
      <w:spacing w:after="240"/>
      <w:ind w:left="4320" w:hanging="2880"/>
    </w:pPr>
    <w:rPr>
      <w:w w:val="0"/>
    </w:rPr>
  </w:style>
  <w:style w:type="character" w:styleId="FootnoteReference">
    <w:name w:val="footnote reference"/>
    <w:rPr>
      <w:vertAlign w:val="superscript"/>
    </w:rPr>
  </w:style>
  <w:style w:type="numbering" w:styleId="1ai">
    <w:name w:val="Outline List 1"/>
    <w:basedOn w:val="NoList"/>
    <w:pPr>
      <w:numPr>
        <w:numId w:val="1"/>
      </w:numPr>
    </w:pPr>
  </w:style>
  <w:style w:type="paragraph" w:customStyle="1" w:styleId="BriefAppendix">
    <w:name w:val="Brief Appendix"/>
    <w:basedOn w:val="Normal"/>
    <w:pPr>
      <w:tabs>
        <w:tab w:val="right" w:leader="dot" w:pos="9360"/>
      </w:tabs>
    </w:pPr>
    <w:rPr>
      <w:sz w:val="26"/>
      <w:szCs w:val="28"/>
    </w:rPr>
  </w:style>
  <w:style w:type="paragraph" w:customStyle="1" w:styleId="BodyTextIndent15">
    <w:name w:val="Body Text Indent 1.5"/>
    <w:basedOn w:val="BodyText"/>
    <w:next w:val="BodyTextFirstIndent15"/>
    <w:pPr>
      <w:spacing w:line="360" w:lineRule="auto"/>
      <w:ind w:left="720" w:right="720"/>
    </w:pPr>
  </w:style>
  <w:style w:type="numbering" w:styleId="ArticleSection">
    <w:name w:val="Outline List 3"/>
    <w:basedOn w:val="NoList"/>
    <w:pPr>
      <w:numPr>
        <w:numId w:val="2"/>
      </w:numPr>
    </w:pPr>
  </w:style>
  <w:style w:type="paragraph" w:customStyle="1" w:styleId="bigheading1">
    <w:name w:val="bigheading1"/>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BodyText">
    <w:name w:val="Body Text"/>
    <w:aliases w:val="bt"/>
    <w:basedOn w:val="Normal"/>
    <w:link w:val="BodyTextChar"/>
    <w:pPr>
      <w:spacing w:after="240"/>
    </w:pPr>
    <w:rPr>
      <w:lang w:val="x-none" w:eastAsia="x-none"/>
    </w:rPr>
  </w:style>
  <w:style w:type="paragraph" w:customStyle="1" w:styleId="FlushRightDotLeader">
    <w:name w:val="*Flush Right Dot Leader"/>
    <w:aliases w:val="FRD"/>
    <w:basedOn w:val="Normal"/>
    <w:rsid w:val="00D15BA9"/>
    <w:pPr>
      <w:numPr>
        <w:numId w:val="25"/>
      </w:numPr>
      <w:tabs>
        <w:tab w:val="clear" w:pos="1440"/>
        <w:tab w:val="right" w:leader="dot" w:pos="9360"/>
      </w:tabs>
      <w:ind w:left="1080" w:firstLine="0"/>
    </w:pPr>
    <w:rPr>
      <w:rFonts w:ascii="Times New Roman" w:hAnsi="Times New Roman"/>
      <w:sz w:val="20"/>
      <w:szCs w:val="20"/>
    </w:rPr>
  </w:style>
  <w:style w:type="character" w:styleId="HTMLCode">
    <w:name w:val="HTML Code"/>
    <w:rPr>
      <w:rFonts w:ascii="Courier New" w:hAnsi="Courier New" w:cs="Courier New"/>
      <w:sz w:val="20"/>
      <w:szCs w:val="20"/>
    </w:rPr>
  </w:style>
  <w:style w:type="paragraph" w:customStyle="1" w:styleId="MT1">
    <w:name w:val="MT1"/>
    <w:basedOn w:val="Normal"/>
    <w:rsid w:val="00D15BA9"/>
    <w:pPr>
      <w:numPr>
        <w:numId w:val="15"/>
      </w:numPr>
      <w:autoSpaceDE w:val="0"/>
      <w:autoSpaceDN w:val="0"/>
      <w:adjustRightInd w:val="0"/>
      <w:spacing w:after="240"/>
      <w:jc w:val="both"/>
      <w:outlineLvl w:val="0"/>
    </w:pPr>
    <w:rPr>
      <w:rFonts w:ascii="Times New Roman" w:hAnsi="Times New Roman"/>
      <w:szCs w:val="20"/>
      <w:lang w:val="en-CA"/>
    </w:rPr>
  </w:style>
  <w:style w:type="paragraph" w:customStyle="1" w:styleId="numtab1">
    <w:name w:val="numtab1"/>
    <w:basedOn w:val="Normal"/>
    <w:pPr>
      <w:widowControl w:val="0"/>
      <w:spacing w:after="200"/>
      <w:ind w:left="720" w:hanging="720"/>
    </w:pPr>
    <w:rPr>
      <w:rFonts w:ascii="Times New Roman" w:hAnsi="Times New Roman"/>
      <w:sz w:val="20"/>
      <w:szCs w:val="20"/>
    </w:rPr>
  </w:style>
  <w:style w:type="paragraph" w:styleId="EnvelopeAddress">
    <w:name w:val="envelope address"/>
    <w:basedOn w:val="Normal"/>
    <w:pPr>
      <w:framePr w:w="7920" w:h="1980" w:hRule="exact" w:hSpace="180" w:wrap="auto" w:hAnchor="page" w:xAlign="center" w:yAlign="bottom"/>
      <w:ind w:left="2880"/>
    </w:pPr>
    <w:rPr>
      <w:rFonts w:cs="Arial"/>
    </w:rPr>
  </w:style>
  <w:style w:type="character" w:customStyle="1" w:styleId="Slogan">
    <w:name w:val="Slogan"/>
    <w:rPr>
      <w:i/>
      <w:spacing w:val="-6"/>
      <w:sz w:val="24"/>
    </w:rPr>
  </w:style>
  <w:style w:type="paragraph" w:customStyle="1" w:styleId="Body">
    <w:name w:val="Body"/>
    <w:basedOn w:val="BodyText"/>
    <w:rPr>
      <w:sz w:val="22"/>
      <w:szCs w:val="21"/>
    </w:rPr>
  </w:style>
  <w:style w:type="paragraph" w:customStyle="1" w:styleId="Otten5L4">
    <w:name w:val="Otten5_L4"/>
    <w:basedOn w:val="Otten5L3"/>
    <w:next w:val="Normal"/>
    <w:rsid w:val="00D15BA9"/>
    <w:pPr>
      <w:numPr>
        <w:ilvl w:val="3"/>
      </w:numPr>
      <w:outlineLvl w:val="3"/>
    </w:pPr>
  </w:style>
  <w:style w:type="paragraph" w:styleId="ListContinue2">
    <w:name w:val="List Continue 2"/>
    <w:basedOn w:val="Normal"/>
    <w:pPr>
      <w:spacing w:after="120"/>
      <w:ind w:left="720"/>
    </w:pPr>
  </w:style>
  <w:style w:type="paragraph" w:customStyle="1" w:styleId="BodyText15">
    <w:name w:val="Body Text 1.5"/>
    <w:basedOn w:val="BodyText"/>
    <w:pPr>
      <w:spacing w:line="360" w:lineRule="auto"/>
    </w:pPr>
  </w:style>
  <w:style w:type="character" w:customStyle="1" w:styleId="PlainTextChar">
    <w:name w:val="Plain Text Char"/>
    <w:link w:val="PlainText"/>
    <w:uiPriority w:val="99"/>
    <w:rPr>
      <w:rFonts w:ascii="Courier New" w:hAnsi="Courier New" w:cs="Courier New"/>
    </w:rPr>
  </w:style>
  <w:style w:type="character" w:customStyle="1" w:styleId="TitleText2">
    <w:name w:val="TitleText2"/>
    <w:rPr>
      <w:u w:val="single"/>
    </w:rPr>
  </w:style>
  <w:style w:type="paragraph" w:styleId="Header">
    <w:name w:val="header"/>
    <w:basedOn w:val="Normal"/>
    <w:next w:val="BodyText"/>
    <w:link w:val="HeaderChar"/>
    <w:uiPriority w:val="99"/>
    <w:pPr>
      <w:tabs>
        <w:tab w:val="center" w:pos="4680"/>
        <w:tab w:val="right" w:pos="9360"/>
      </w:tabs>
    </w:pPr>
    <w:rPr>
      <w:lang w:val="x-none" w:eastAsia="x-none"/>
    </w:rPr>
  </w:style>
  <w:style w:type="paragraph" w:styleId="BodyText2">
    <w:name w:val="Body Text 2"/>
    <w:basedOn w:val="BodyText"/>
    <w:pPr>
      <w:spacing w:line="480" w:lineRule="auto"/>
    </w:pPr>
  </w:style>
  <w:style w:type="character" w:customStyle="1" w:styleId="Lead-inEmphasis">
    <w:name w:val="Lead-in Emphasis"/>
    <w:rPr>
      <w:rFonts w:ascii="Arial" w:hAnsi="Arial"/>
      <w:b/>
      <w:spacing w:val="-4"/>
    </w:rPr>
  </w:style>
  <w:style w:type="character" w:styleId="FollowedHyperlink">
    <w:name w:val="FollowedHyperlink"/>
    <w:rPr>
      <w:color w:val="800080"/>
      <w:u w:val="single"/>
    </w:rPr>
  </w:style>
  <w:style w:type="paragraph" w:styleId="BodyText3">
    <w:name w:val="Body Text 3"/>
    <w:basedOn w:val="Normal"/>
    <w:pPr>
      <w:spacing w:after="120"/>
    </w:pPr>
    <w:rPr>
      <w:sz w:val="16"/>
      <w:szCs w:val="16"/>
    </w:rPr>
  </w:style>
  <w:style w:type="paragraph" w:customStyle="1" w:styleId="ArticleL7">
    <w:name w:val="Article_L7"/>
    <w:basedOn w:val="ArticleL6"/>
    <w:next w:val="BodyText"/>
    <w:rsid w:val="00D15BA9"/>
    <w:pPr>
      <w:numPr>
        <w:ilvl w:val="6"/>
      </w:numPr>
      <w:outlineLvl w:val="6"/>
    </w:pPr>
  </w:style>
  <w:style w:type="paragraph" w:customStyle="1" w:styleId="BodyTextFirstIndent15">
    <w:name w:val="Body Text First Indent 1.5"/>
    <w:basedOn w:val="BodyText"/>
    <w:pPr>
      <w:spacing w:line="360" w:lineRule="auto"/>
      <w:ind w:firstLine="720"/>
    </w:pPr>
  </w:style>
  <w:style w:type="character" w:styleId="HTMLVariable">
    <w:name w:val="HTML Variable"/>
    <w:rPr>
      <w:i/>
      <w:iCs/>
    </w:rPr>
  </w:style>
  <w:style w:type="paragraph" w:customStyle="1" w:styleId="ArticleL3">
    <w:name w:val="Article_L3"/>
    <w:basedOn w:val="ArticleL2"/>
    <w:next w:val="BodyText"/>
    <w:rsid w:val="00D15BA9"/>
    <w:pPr>
      <w:numPr>
        <w:ilvl w:val="2"/>
      </w:numPr>
      <w:outlineLvl w:val="2"/>
    </w:pPr>
  </w:style>
  <w:style w:type="table" w:styleId="TableClassic1">
    <w:name w:val="Table Classic 1"/>
    <w:basedOn w:val="TableNormal"/>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BodyTextIndent2">
    <w:name w:val="Body Text Indent 2"/>
    <w:basedOn w:val="BodyText"/>
    <w:next w:val="BodyTextFirstIndent2"/>
    <w:pPr>
      <w:spacing w:line="480" w:lineRule="auto"/>
      <w:ind w:left="720" w:right="720"/>
    </w:pPr>
  </w:style>
  <w:style w:type="paragraph" w:styleId="EndnoteText">
    <w:name w:val="endnote text"/>
    <w:basedOn w:val="BodyText"/>
    <w:rPr>
      <w:sz w:val="20"/>
      <w:szCs w:val="20"/>
    </w:rPr>
  </w:style>
  <w:style w:type="paragraph" w:customStyle="1" w:styleId="ArticleL2">
    <w:name w:val="Article_L2"/>
    <w:basedOn w:val="ArticleL1"/>
    <w:next w:val="BodyText"/>
    <w:link w:val="ArticleL2Char"/>
    <w:rsid w:val="00D15BA9"/>
    <w:pPr>
      <w:numPr>
        <w:ilvl w:val="1"/>
      </w:numPr>
      <w:jc w:val="both"/>
      <w:outlineLvl w:val="1"/>
    </w:pPr>
    <w:rPr>
      <w:b w:val="0"/>
    </w:rPr>
  </w:style>
  <w:style w:type="paragraph" w:styleId="BodyTextIndent3">
    <w:name w:val="Body Text Indent 3"/>
    <w:basedOn w:val="Normal"/>
    <w:pPr>
      <w:spacing w:after="120"/>
      <w:ind w:left="360"/>
    </w:pPr>
    <w:rPr>
      <w:sz w:val="16"/>
      <w:szCs w:val="16"/>
    </w:rPr>
  </w:style>
  <w:style w:type="paragraph" w:customStyle="1" w:styleId="ArticleExhL3">
    <w:name w:val="ArticleExh_L3"/>
    <w:basedOn w:val="ArticleExhL2"/>
    <w:next w:val="BodyText"/>
    <w:rsid w:val="00D15BA9"/>
    <w:pPr>
      <w:numPr>
        <w:ilvl w:val="2"/>
      </w:numPr>
      <w:outlineLvl w:val="2"/>
    </w:pPr>
  </w:style>
  <w:style w:type="paragraph" w:styleId="TOC6">
    <w:name w:val="toc 6"/>
    <w:basedOn w:val="Normal"/>
    <w:next w:val="Normal"/>
    <w:autoRedefine/>
    <w:uiPriority w:val="39"/>
    <w:pPr>
      <w:keepLines/>
      <w:tabs>
        <w:tab w:val="right" w:leader="dot" w:pos="9288"/>
      </w:tabs>
      <w:ind w:left="4320" w:right="720" w:hanging="720"/>
    </w:pPr>
    <w:rPr>
      <w:rFonts w:cs="Arial"/>
      <w:szCs w:val="20"/>
    </w:rPr>
  </w:style>
  <w:style w:type="character" w:styleId="HTMLCite">
    <w:name w:val="HTML Cite"/>
    <w:rPr>
      <w:i/>
      <w:iCs/>
    </w:rPr>
  </w:style>
  <w:style w:type="paragraph" w:styleId="IndexHeading">
    <w:name w:val="index heading"/>
    <w:basedOn w:val="BodyText"/>
    <w:next w:val="BodyText"/>
    <w:pPr>
      <w:jc w:val="center"/>
    </w:pPr>
    <w:rPr>
      <w:rFonts w:cs="Arial"/>
      <w:b/>
      <w:bCs/>
    </w:rPr>
  </w:style>
  <w:style w:type="paragraph" w:customStyle="1" w:styleId="BodyTextLeft">
    <w:name w:val="Body Text Left"/>
    <w:basedOn w:val="BodyText"/>
  </w:style>
  <w:style w:type="paragraph" w:styleId="CommentText">
    <w:name w:val="annotation text"/>
    <w:basedOn w:val="BodyText"/>
    <w:rPr>
      <w:sz w:val="20"/>
      <w:szCs w:val="20"/>
    </w:rPr>
  </w:style>
  <w:style w:type="paragraph" w:customStyle="1" w:styleId="CaptionParties">
    <w:name w:val="Caption Parties"/>
    <w:basedOn w:val="BodyText"/>
    <w:pPr>
      <w:tabs>
        <w:tab w:val="right" w:pos="4320"/>
        <w:tab w:val="center" w:pos="7200"/>
        <w:tab w:val="right" w:pos="8640"/>
      </w:tabs>
    </w:pPr>
    <w:rPr>
      <w:szCs w:val="20"/>
    </w:rPr>
  </w:style>
  <w:style w:type="paragraph" w:styleId="Caption">
    <w:name w:val="caption"/>
    <w:basedOn w:val="Normal"/>
    <w:next w:val="Normal"/>
    <w:qFormat/>
    <w:pPr>
      <w:spacing w:before="120" w:after="120"/>
    </w:pPr>
    <w:rPr>
      <w:b/>
      <w:bCs/>
      <w:sz w:val="20"/>
      <w:szCs w:val="20"/>
    </w:rPr>
  </w:style>
  <w:style w:type="paragraph" w:customStyle="1" w:styleId="PleadingEnd">
    <w:name w:val="Pleading End"/>
    <w:basedOn w:val="Normal"/>
    <w:pPr>
      <w:ind w:left="4680" w:hanging="4680"/>
    </w:pPr>
  </w:style>
  <w:style w:type="paragraph" w:styleId="Closing">
    <w:name w:val="Closing"/>
    <w:basedOn w:val="Normal"/>
    <w:pPr>
      <w:ind w:left="4320"/>
    </w:pPr>
  </w:style>
  <w:style w:type="character" w:styleId="HTMLSample">
    <w:name w:val="HTML Sample"/>
    <w:rPr>
      <w:rFonts w:ascii="Courier New" w:hAnsi="Courier New" w:cs="Courier New"/>
    </w:rPr>
  </w:style>
  <w:style w:type="character" w:styleId="HTMLKeyboard">
    <w:name w:val="HTML Keyboard"/>
    <w:rPr>
      <w:rFonts w:ascii="Courier New" w:hAnsi="Courier New" w:cs="Courier New"/>
      <w:sz w:val="20"/>
      <w:szCs w:val="20"/>
    </w:rPr>
  </w:style>
  <w:style w:type="character" w:styleId="Emphasis">
    <w:name w:val="Emphasis"/>
    <w:qFormat/>
    <w:rPr>
      <w:i/>
      <w:iCs/>
    </w:rPr>
  </w:style>
  <w:style w:type="paragraph" w:customStyle="1" w:styleId="StandardL7">
    <w:name w:val="Standard_L7"/>
    <w:basedOn w:val="StandardL6"/>
    <w:next w:val="Normal"/>
    <w:rsid w:val="00D15BA9"/>
    <w:pPr>
      <w:numPr>
        <w:ilvl w:val="6"/>
      </w:numPr>
      <w:outlineLvl w:val="6"/>
    </w:pPr>
  </w:style>
  <w:style w:type="paragraph" w:customStyle="1" w:styleId="HBody">
    <w:name w:val="HBody"/>
    <w:basedOn w:val="Normal"/>
    <w:pPr>
      <w:spacing w:line="480" w:lineRule="auto"/>
      <w:ind w:firstLine="720"/>
      <w:jc w:val="both"/>
    </w:pPr>
    <w:rPr>
      <w:rFonts w:ascii="Times New Roman" w:hAnsi="Times New Roman"/>
      <w:szCs w:val="20"/>
    </w:rPr>
  </w:style>
  <w:style w:type="character" w:styleId="CommentReference">
    <w:name w:val="annotation reference"/>
    <w:rPr>
      <w:sz w:val="16"/>
      <w:szCs w:val="16"/>
    </w:rPr>
  </w:style>
  <w:style w:type="paragraph" w:customStyle="1" w:styleId="Text1bul">
    <w:name w:val="Text1bul"/>
    <w:basedOn w:val="Normal"/>
    <w:pPr>
      <w:spacing w:after="300" w:line="300" w:lineRule="exact"/>
      <w:ind w:left="360" w:hanging="360"/>
    </w:pPr>
    <w:rPr>
      <w:rFonts w:ascii="Times" w:hAnsi="Times"/>
      <w:sz w:val="20"/>
      <w:szCs w:val="20"/>
    </w:rPr>
  </w:style>
  <w:style w:type="paragraph" w:styleId="CommentSubject">
    <w:name w:val="annotation subject"/>
    <w:basedOn w:val="CommentText"/>
    <w:next w:val="CommentText"/>
    <w:rPr>
      <w:b/>
      <w:bCs/>
    </w:rPr>
  </w:style>
  <w:style w:type="paragraph" w:customStyle="1" w:styleId="CountyPleading">
    <w:name w:val="County Pleading"/>
    <w:basedOn w:val="BodyText"/>
    <w:pPr>
      <w:tabs>
        <w:tab w:val="right" w:pos="9360"/>
      </w:tabs>
    </w:pPr>
    <w:rPr>
      <w:rFonts w:ascii="Times New Roman Bold" w:hAnsi="Times New Roman Bold"/>
      <w:b/>
      <w:caps/>
    </w:rPr>
  </w:style>
  <w:style w:type="paragraph" w:customStyle="1" w:styleId="h1text">
    <w:name w:val="h1text"/>
    <w:basedOn w:val="Normal"/>
    <w:pPr>
      <w:spacing w:after="200"/>
      <w:ind w:left="1080"/>
    </w:pPr>
    <w:rPr>
      <w:rFonts w:ascii="Times New Roman" w:hAnsi="Times New Roman"/>
      <w:sz w:val="20"/>
      <w:szCs w:val="20"/>
    </w:rPr>
  </w:style>
  <w:style w:type="paragraph" w:customStyle="1" w:styleId="List5Tab4">
    <w:name w:val="List .5 Tab 4"/>
    <w:basedOn w:val="Normal"/>
    <w:pPr>
      <w:tabs>
        <w:tab w:val="left" w:pos="5760"/>
      </w:tabs>
      <w:spacing w:after="240"/>
      <w:ind w:left="720"/>
    </w:pPr>
  </w:style>
  <w:style w:type="paragraph" w:styleId="Date">
    <w:name w:val="Date"/>
    <w:basedOn w:val="Normal"/>
    <w:next w:val="BodyText"/>
  </w:style>
  <w:style w:type="paragraph" w:customStyle="1" w:styleId="DoubleIndent">
    <w:name w:val="Double Indent"/>
    <w:basedOn w:val="BodyText"/>
    <w:next w:val="BodyTextFirstIndent"/>
    <w:pPr>
      <w:ind w:left="720" w:right="720"/>
    </w:pPr>
  </w:style>
  <w:style w:type="paragraph" w:customStyle="1" w:styleId="HeaderFirst">
    <w:name w:val="Header First"/>
    <w:basedOn w:val="Header"/>
    <w:pPr>
      <w:keepLines/>
      <w:tabs>
        <w:tab w:val="clear" w:pos="4680"/>
        <w:tab w:val="clear" w:pos="9360"/>
        <w:tab w:val="center" w:pos="4320"/>
        <w:tab w:val="right" w:pos="8640"/>
      </w:tabs>
    </w:pPr>
    <w:rPr>
      <w:spacing w:val="-4"/>
      <w:sz w:val="20"/>
      <w:szCs w:val="20"/>
    </w:rPr>
  </w:style>
  <w:style w:type="paragraph" w:styleId="Footer">
    <w:name w:val="footer"/>
    <w:basedOn w:val="Normal"/>
    <w:link w:val="FooterChar"/>
    <w:pPr>
      <w:tabs>
        <w:tab w:val="center" w:pos="4680"/>
        <w:tab w:val="right" w:pos="9360"/>
      </w:tabs>
    </w:pPr>
    <w:rPr>
      <w:lang w:val="x-none" w:eastAsia="x-none"/>
    </w:rPr>
  </w:style>
  <w:style w:type="paragraph" w:styleId="E-mailSignature">
    <w:name w:val="E-mail Signature"/>
    <w:basedOn w:val="Normal"/>
  </w:style>
  <w:style w:type="paragraph" w:customStyle="1" w:styleId="TitleArial12">
    <w:name w:val="Title Arial 12"/>
    <w:basedOn w:val="Normal"/>
    <w:pPr>
      <w:jc w:val="center"/>
    </w:pPr>
    <w:rPr>
      <w:rFonts w:cs="Arial"/>
      <w:b/>
      <w:smallCaps/>
      <w:szCs w:val="20"/>
    </w:rPr>
  </w:style>
  <w:style w:type="paragraph" w:styleId="EnvelopeReturn">
    <w:name w:val="envelope return"/>
    <w:basedOn w:val="Normal"/>
    <w:rPr>
      <w:rFonts w:cs="Arial"/>
      <w:sz w:val="20"/>
      <w:szCs w:val="20"/>
    </w:rPr>
  </w:style>
  <w:style w:type="character" w:styleId="EndnoteReference">
    <w:name w:val="endnote reference"/>
    <w:rPr>
      <w:vertAlign w:val="superscript"/>
    </w:rPr>
  </w:style>
  <w:style w:type="character" w:customStyle="1" w:styleId="TitleChar">
    <w:name w:val="Title Char"/>
    <w:aliases w:val="t Char"/>
    <w:link w:val="Title"/>
    <w:rPr>
      <w:rFonts w:ascii="Arial" w:hAnsi="Arial" w:cs="Arial"/>
      <w:b/>
      <w:bCs/>
      <w:sz w:val="24"/>
      <w:szCs w:val="24"/>
    </w:rPr>
  </w:style>
  <w:style w:type="character" w:styleId="HTMLDefinition">
    <w:name w:val="HTML Definition"/>
    <w:rPr>
      <w:i/>
      <w:iCs/>
    </w:rPr>
  </w:style>
  <w:style w:type="paragraph" w:customStyle="1" w:styleId="ArticleCont6">
    <w:name w:val="Article Cont 6"/>
    <w:basedOn w:val="ArticleCont5"/>
  </w:style>
  <w:style w:type="paragraph" w:styleId="HTMLPreformatted">
    <w:name w:val="HTML Preformatted"/>
    <w:basedOn w:val="Normal"/>
    <w:rPr>
      <w:rFonts w:ascii="Courier New" w:hAnsi="Courier New" w:cs="Courier New"/>
      <w:sz w:val="20"/>
      <w:szCs w:val="20"/>
    </w:rPr>
  </w:style>
  <w:style w:type="character" w:styleId="HTMLTypewriter">
    <w:name w:val="HTML Typewriter"/>
    <w:rPr>
      <w:rFonts w:ascii="Courier New" w:hAnsi="Courier New" w:cs="Courier New"/>
      <w:sz w:val="20"/>
      <w:szCs w:val="20"/>
    </w:rPr>
  </w:style>
  <w:style w:type="paragraph" w:customStyle="1" w:styleId="Legal2L8">
    <w:name w:val="Legal2_L8"/>
    <w:basedOn w:val="Legal2L7"/>
    <w:next w:val="BodyText"/>
    <w:pPr>
      <w:tabs>
        <w:tab w:val="clear" w:pos="5040"/>
        <w:tab w:val="num" w:pos="5760"/>
      </w:tabs>
      <w:ind w:firstLine="5040"/>
      <w:outlineLvl w:val="7"/>
    </w:pPr>
  </w:style>
  <w:style w:type="paragraph" w:styleId="ListNumber4">
    <w:name w:val="List Number 4"/>
    <w:basedOn w:val="Normal"/>
    <w:rsid w:val="00D15BA9"/>
    <w:pPr>
      <w:numPr>
        <w:numId w:val="11"/>
      </w:numPr>
      <w:tabs>
        <w:tab w:val="clear" w:pos="1440"/>
        <w:tab w:val="num" w:pos="360"/>
      </w:tabs>
      <w:ind w:left="0" w:firstLine="0"/>
    </w:p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character" w:customStyle="1" w:styleId="DeltaViewMovedDeletion">
    <w:name w:val="DeltaView Moved Deletion"/>
    <w:rPr>
      <w:strike/>
      <w:color w:val="C08080"/>
      <w:spacing w:val="0"/>
    </w:rPr>
  </w:style>
  <w:style w:type="paragraph" w:styleId="ListBullet">
    <w:name w:val="List Bullet"/>
    <w:basedOn w:val="Normal"/>
    <w:autoRedefine/>
    <w:rsid w:val="00D15BA9"/>
    <w:pPr>
      <w:numPr>
        <w:numId w:val="3"/>
      </w:numPr>
      <w:ind w:left="0" w:firstLine="0"/>
    </w:pPr>
  </w:style>
  <w:style w:type="paragraph" w:customStyle="1" w:styleId="CTAgmt6">
    <w:name w:val="CT Agmt 6"/>
    <w:basedOn w:val="Normal"/>
    <w:pPr>
      <w:tabs>
        <w:tab w:val="num" w:pos="4320"/>
      </w:tabs>
      <w:spacing w:after="240"/>
      <w:ind w:left="4320" w:hanging="720"/>
      <w:jc w:val="both"/>
      <w:outlineLvl w:val="5"/>
    </w:pPr>
    <w:rPr>
      <w:rFonts w:ascii="Times New Roman" w:hAnsi="Times New Roman"/>
      <w:szCs w:val="20"/>
    </w:rPr>
  </w:style>
  <w:style w:type="paragraph" w:styleId="ListBullet2">
    <w:name w:val="List Bullet 2"/>
    <w:basedOn w:val="Normal"/>
    <w:autoRedefine/>
    <w:rsid w:val="00D15BA9"/>
    <w:pPr>
      <w:numPr>
        <w:numId w:val="4"/>
      </w:numPr>
      <w:tabs>
        <w:tab w:val="clear" w:pos="720"/>
        <w:tab w:val="num" w:pos="360"/>
      </w:tabs>
      <w:ind w:left="0" w:firstLine="0"/>
    </w:pPr>
  </w:style>
  <w:style w:type="paragraph" w:styleId="ListBullet3">
    <w:name w:val="List Bullet 3"/>
    <w:basedOn w:val="Normal"/>
    <w:autoRedefine/>
    <w:rsid w:val="00D15BA9"/>
    <w:pPr>
      <w:numPr>
        <w:numId w:val="5"/>
      </w:numPr>
      <w:tabs>
        <w:tab w:val="clear" w:pos="1080"/>
        <w:tab w:val="num" w:pos="360"/>
      </w:tabs>
      <w:ind w:left="0" w:firstLine="0"/>
    </w:pPr>
  </w:style>
  <w:style w:type="paragraph" w:styleId="ListBullet4">
    <w:name w:val="List Bullet 4"/>
    <w:basedOn w:val="Normal"/>
    <w:autoRedefine/>
    <w:rsid w:val="00D15BA9"/>
    <w:pPr>
      <w:numPr>
        <w:numId w:val="6"/>
      </w:numPr>
      <w:tabs>
        <w:tab w:val="clear" w:pos="1440"/>
        <w:tab w:val="num" w:pos="360"/>
      </w:tabs>
      <w:ind w:left="0" w:firstLine="0"/>
    </w:pPr>
  </w:style>
  <w:style w:type="paragraph" w:styleId="ListBullet5">
    <w:name w:val="List Bullet 5"/>
    <w:basedOn w:val="Normal"/>
    <w:autoRedefine/>
    <w:rsid w:val="00D15BA9"/>
    <w:pPr>
      <w:numPr>
        <w:numId w:val="7"/>
      </w:numPr>
      <w:tabs>
        <w:tab w:val="clear" w:pos="1800"/>
        <w:tab w:val="num" w:pos="360"/>
      </w:tabs>
      <w:ind w:left="0" w:firstLine="0"/>
    </w:pPr>
  </w:style>
  <w:style w:type="paragraph" w:customStyle="1" w:styleId="Level5">
    <w:name w:val="Level 5"/>
    <w:basedOn w:val="Normal"/>
    <w:pPr>
      <w:widowControl w:val="0"/>
      <w:numPr>
        <w:ilvl w:val="4"/>
        <w:numId w:val="17"/>
      </w:numPr>
      <w:autoSpaceDE w:val="0"/>
      <w:autoSpaceDN w:val="0"/>
      <w:adjustRightInd w:val="0"/>
      <w:ind w:firstLine="1440"/>
      <w:jc w:val="both"/>
      <w:outlineLvl w:val="4"/>
    </w:pPr>
    <w:rPr>
      <w:rFonts w:ascii="Courier" w:hAnsi="Courier"/>
      <w:sz w:val="20"/>
      <w:szCs w:val="20"/>
    </w:rPr>
  </w:style>
  <w:style w:type="paragraph" w:styleId="ListContinue">
    <w:name w:val="List Continue"/>
    <w:basedOn w:val="Normal"/>
    <w:pPr>
      <w:spacing w:after="120"/>
      <w:ind w:left="360"/>
    </w:pPr>
  </w:style>
  <w:style w:type="paragraph" w:customStyle="1" w:styleId="Otten5L5">
    <w:name w:val="Otten5_L5"/>
    <w:basedOn w:val="Otten5L4"/>
    <w:next w:val="Normal"/>
    <w:rsid w:val="00D15BA9"/>
    <w:pPr>
      <w:numPr>
        <w:ilvl w:val="4"/>
      </w:numPr>
      <w:outlineLvl w:val="4"/>
    </w:pPr>
  </w:style>
  <w:style w:type="paragraph" w:styleId="ListContinue3">
    <w:name w:val="List Continue 3"/>
    <w:basedOn w:val="Normal"/>
    <w:pPr>
      <w:spacing w:after="120"/>
      <w:ind w:left="1080"/>
    </w:pPr>
  </w:style>
  <w:style w:type="paragraph" w:customStyle="1" w:styleId="Otten5L2">
    <w:name w:val="Otten5_L2"/>
    <w:basedOn w:val="Otten5L1"/>
    <w:next w:val="Normal"/>
    <w:rsid w:val="00D15BA9"/>
    <w:pPr>
      <w:numPr>
        <w:ilvl w:val="1"/>
      </w:numPr>
      <w:outlineLvl w:val="1"/>
    </w:pPr>
  </w:style>
  <w:style w:type="paragraph" w:styleId="ListContinue4">
    <w:name w:val="List Continue 4"/>
    <w:basedOn w:val="Normal"/>
    <w:pPr>
      <w:spacing w:after="120"/>
      <w:ind w:left="1440"/>
    </w:pPr>
  </w:style>
  <w:style w:type="paragraph" w:customStyle="1" w:styleId="Otten5L3">
    <w:name w:val="Otten5_L3"/>
    <w:basedOn w:val="Otten5L2"/>
    <w:next w:val="Normal"/>
    <w:rsid w:val="00D15BA9"/>
    <w:pPr>
      <w:numPr>
        <w:ilvl w:val="2"/>
      </w:numPr>
      <w:outlineLvl w:val="2"/>
    </w:pPr>
  </w:style>
  <w:style w:type="paragraph" w:styleId="ListContinue5">
    <w:name w:val="List Continue 5"/>
    <w:basedOn w:val="Normal"/>
    <w:pPr>
      <w:spacing w:after="120"/>
      <w:ind w:left="1800"/>
    </w:pPr>
  </w:style>
  <w:style w:type="paragraph" w:styleId="ListNumber">
    <w:name w:val="List Number"/>
    <w:basedOn w:val="Normal"/>
    <w:rsid w:val="00D15BA9"/>
    <w:pPr>
      <w:numPr>
        <w:numId w:val="8"/>
      </w:numPr>
      <w:ind w:left="0" w:firstLine="0"/>
    </w:pPr>
  </w:style>
  <w:style w:type="paragraph" w:customStyle="1" w:styleId="Numbereed105">
    <w:name w:val="*Numbereed 1 0/.5"/>
    <w:aliases w:val="N105"/>
    <w:basedOn w:val="Normal"/>
    <w:rsid w:val="00D15BA9"/>
    <w:pPr>
      <w:numPr>
        <w:numId w:val="21"/>
      </w:numPr>
      <w:spacing w:after="240"/>
    </w:pPr>
    <w:rPr>
      <w:rFonts w:ascii="Times New Roman" w:hAnsi="Times New Roman"/>
      <w:sz w:val="20"/>
      <w:szCs w:val="20"/>
    </w:rPr>
  </w:style>
  <w:style w:type="paragraph" w:styleId="ListNumber2">
    <w:name w:val="List Number 2"/>
    <w:basedOn w:val="Normal"/>
    <w:rsid w:val="00D15BA9"/>
    <w:pPr>
      <w:numPr>
        <w:numId w:val="9"/>
      </w:numPr>
      <w:tabs>
        <w:tab w:val="clear" w:pos="720"/>
        <w:tab w:val="num" w:pos="360"/>
      </w:tabs>
      <w:ind w:left="0" w:firstLine="0"/>
    </w:pPr>
  </w:style>
  <w:style w:type="paragraph" w:styleId="ListNumber3">
    <w:name w:val="List Number 3"/>
    <w:basedOn w:val="Normal"/>
    <w:rsid w:val="00D15BA9"/>
    <w:pPr>
      <w:numPr>
        <w:numId w:val="10"/>
      </w:numPr>
      <w:tabs>
        <w:tab w:val="clear" w:pos="1080"/>
        <w:tab w:val="num" w:pos="360"/>
      </w:tabs>
      <w:ind w:left="0" w:firstLine="0"/>
    </w:pPr>
  </w:style>
  <w:style w:type="character" w:customStyle="1" w:styleId="SignatureChar">
    <w:name w:val="Signature Char"/>
    <w:link w:val="Signature"/>
    <w:rPr>
      <w:rFonts w:ascii="Arial" w:hAnsi="Arial"/>
      <w:sz w:val="24"/>
      <w:szCs w:val="24"/>
    </w:rPr>
  </w:style>
  <w:style w:type="paragraph" w:customStyle="1" w:styleId="Legal2L9">
    <w:name w:val="Legal2_L9"/>
    <w:basedOn w:val="Legal2L8"/>
    <w:next w:val="BodyText"/>
    <w:pPr>
      <w:tabs>
        <w:tab w:val="clear" w:pos="5760"/>
        <w:tab w:val="num" w:pos="6480"/>
      </w:tabs>
      <w:ind w:firstLine="5760"/>
      <w:outlineLvl w:val="8"/>
    </w:pPr>
  </w:style>
  <w:style w:type="paragraph" w:styleId="ListNumber5">
    <w:name w:val="List Number 5"/>
    <w:basedOn w:val="Normal"/>
    <w:rsid w:val="00D15BA9"/>
    <w:pPr>
      <w:numPr>
        <w:numId w:val="12"/>
      </w:numPr>
      <w:tabs>
        <w:tab w:val="clear" w:pos="1800"/>
        <w:tab w:val="num" w:pos="360"/>
      </w:tabs>
      <w:ind w:left="0" w:firstLine="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BodyText"/>
    <w:pPr>
      <w:pBdr>
        <w:top w:val="single" w:sz="6" w:space="1" w:color="auto"/>
        <w:left w:val="single" w:sz="6" w:space="1" w:color="auto"/>
        <w:bottom w:val="single" w:sz="6" w:space="1" w:color="auto"/>
        <w:right w:val="single" w:sz="6" w:space="1" w:color="auto"/>
      </w:pBdr>
      <w:shd w:val="pct20" w:color="auto" w:fill="auto"/>
      <w:ind w:left="1080" w:hanging="1080"/>
    </w:pPr>
    <w:rPr>
      <w:rFonts w:cs="Arial"/>
    </w:rPr>
  </w:style>
  <w:style w:type="paragraph" w:customStyle="1" w:styleId="Legal2L6">
    <w:name w:val="Legal2_L6"/>
    <w:basedOn w:val="Legal2L5"/>
    <w:next w:val="BodyText"/>
    <w:pPr>
      <w:tabs>
        <w:tab w:val="clear" w:pos="3600"/>
        <w:tab w:val="num" w:pos="4320"/>
      </w:tabs>
      <w:ind w:firstLine="3600"/>
      <w:outlineLvl w:val="5"/>
    </w:pPr>
  </w:style>
  <w:style w:type="paragraph" w:styleId="NormalWeb">
    <w:name w:val="Normal (Web)"/>
    <w:basedOn w:val="Normal"/>
  </w:style>
  <w:style w:type="paragraph" w:customStyle="1" w:styleId="TxBrp3">
    <w:name w:val="TxBr_p3"/>
    <w:basedOn w:val="Normal"/>
    <w:pPr>
      <w:widowControl w:val="0"/>
      <w:tabs>
        <w:tab w:val="left" w:pos="204"/>
      </w:tabs>
      <w:spacing w:line="240" w:lineRule="atLeast"/>
      <w:jc w:val="both"/>
    </w:pPr>
    <w:rPr>
      <w:rFonts w:ascii="Times New Roman" w:hAnsi="Times New Roman"/>
      <w:szCs w:val="20"/>
    </w:rPr>
  </w:style>
  <w:style w:type="paragraph" w:styleId="NormalIndent">
    <w:name w:val="Normal Indent"/>
    <w:basedOn w:val="Normal"/>
    <w:pPr>
      <w:ind w:left="720"/>
    </w:pPr>
  </w:style>
  <w:style w:type="paragraph" w:styleId="TableofAuthorities">
    <w:name w:val="table of authorities"/>
    <w:basedOn w:val="Normal"/>
    <w:next w:val="Normal"/>
    <w:pPr>
      <w:ind w:left="240" w:hanging="240"/>
    </w:pPr>
  </w:style>
  <w:style w:type="paragraph" w:styleId="NoteHeading">
    <w:name w:val="Note Heading"/>
    <w:basedOn w:val="Normal"/>
    <w:next w:val="Normal"/>
  </w:style>
  <w:style w:type="paragraph" w:customStyle="1" w:styleId="TitleCenterBoldUnderlineAllCaps">
    <w:name w:val="*Title Center Bold Underline All Caps"/>
    <w:aliases w:val="TCBUA"/>
    <w:basedOn w:val="Normal"/>
    <w:pPr>
      <w:keepNext/>
      <w:spacing w:after="240"/>
      <w:ind w:left="1080"/>
      <w:jc w:val="center"/>
    </w:pPr>
    <w:rPr>
      <w:rFonts w:ascii="Times New Roman" w:hAnsi="Times New Roman"/>
      <w:b/>
      <w:caps/>
      <w:sz w:val="20"/>
      <w:szCs w:val="20"/>
      <w:u w:val="single"/>
    </w:rPr>
  </w:style>
  <w:style w:type="character" w:styleId="PageNumber">
    <w:name w:val="page number"/>
    <w:rPr>
      <w:rFonts w:ascii="Times New Roman" w:hAnsi="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paragraph" w:customStyle="1" w:styleId="PleadingSignature">
    <w:name w:val="Pleading Signature"/>
    <w:basedOn w:val="BodyText"/>
    <w:pPr>
      <w:tabs>
        <w:tab w:val="left" w:pos="4680"/>
        <w:tab w:val="left" w:leader="underscore" w:pos="9360"/>
      </w:tabs>
    </w:pPr>
  </w:style>
  <w:style w:type="paragraph" w:customStyle="1" w:styleId="ReLine">
    <w:name w:val="Re: Line"/>
    <w:basedOn w:val="BodyText"/>
    <w:next w:val="BodyText"/>
    <w:pPr>
      <w:ind w:left="1440" w:right="720" w:hanging="720"/>
    </w:pPr>
    <w:rPr>
      <w:b/>
    </w:rPr>
  </w:style>
  <w:style w:type="paragraph" w:customStyle="1" w:styleId="ArticleExhL1">
    <w:name w:val="ArticleExh_L1"/>
    <w:basedOn w:val="Normal"/>
    <w:next w:val="BodyText"/>
    <w:rsid w:val="00D15BA9"/>
    <w:pPr>
      <w:numPr>
        <w:numId w:val="14"/>
      </w:numPr>
      <w:spacing w:after="240"/>
      <w:jc w:val="center"/>
      <w:outlineLvl w:val="0"/>
    </w:pPr>
    <w:rPr>
      <w:rFonts w:cs="Arial"/>
      <w:b/>
      <w:caps/>
      <w:szCs w:val="20"/>
    </w:rPr>
  </w:style>
  <w:style w:type="paragraph" w:styleId="TOC4">
    <w:name w:val="toc 4"/>
    <w:basedOn w:val="Normal"/>
    <w:next w:val="Normal"/>
    <w:autoRedefine/>
    <w:uiPriority w:val="39"/>
    <w:pPr>
      <w:keepLines/>
      <w:tabs>
        <w:tab w:val="right" w:leader="dot" w:pos="9288"/>
      </w:tabs>
      <w:ind w:left="2880" w:right="720" w:hanging="720"/>
    </w:pPr>
    <w:rPr>
      <w:rFonts w:cs="Arial"/>
      <w:szCs w:val="20"/>
    </w:rPr>
  </w:style>
  <w:style w:type="paragraph" w:customStyle="1" w:styleId="RightTab65">
    <w:name w:val="Right Tab (6.5)"/>
    <w:basedOn w:val="BodyText"/>
    <w:pPr>
      <w:tabs>
        <w:tab w:val="right" w:pos="9360"/>
      </w:tabs>
    </w:pPr>
  </w:style>
  <w:style w:type="table" w:styleId="TableWeb2">
    <w:name w:val="Table Web 2"/>
    <w:basedOn w:val="TableNormal"/>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Signature">
    <w:name w:val="Signature"/>
    <w:basedOn w:val="BodyText"/>
    <w:link w:val="SignatureChar"/>
    <w:qFormat/>
    <w:pPr>
      <w:keepNext/>
      <w:tabs>
        <w:tab w:val="right" w:leader="underscore" w:pos="9360"/>
      </w:tabs>
      <w:ind w:left="4680"/>
    </w:pPr>
  </w:style>
  <w:style w:type="character" w:styleId="Strong">
    <w:name w:val="Strong"/>
    <w:qFormat/>
    <w:rPr>
      <w:b/>
      <w:bCs/>
    </w:rPr>
  </w:style>
  <w:style w:type="paragraph" w:styleId="Subtitle">
    <w:name w:val="Subtitle"/>
    <w:basedOn w:val="BodyText"/>
    <w:next w:val="BodyText"/>
    <w:link w:val="SubtitleChar"/>
    <w:qFormat/>
    <w:pPr>
      <w:jc w:val="center"/>
    </w:pPr>
  </w:style>
  <w:style w:type="table" w:styleId="Table3Deffects1">
    <w:name w:val="Table 3D effects 1"/>
    <w:basedOn w:val="TableNormal"/>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character" w:customStyle="1" w:styleId="O-BodyTextChar">
    <w:name w:val="O-Body Text () Char"/>
    <w:aliases w:val="1Body Char,s1 Char"/>
    <w:link w:val="O-BodyText"/>
    <w:rPr>
      <w:rFonts w:ascii="Arial" w:hAnsi="Arial"/>
    </w:rPr>
  </w:style>
  <w:style w:type="table" w:styleId="TableList3">
    <w:name w:val="Table List 3"/>
    <w:basedOn w:val="TableNormal"/>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3Deffects2">
    <w:name w:val="Table 3D effects 2"/>
    <w:basedOn w:val="TableNormal"/>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head">
    <w:name w:val="tablehead"/>
    <w:basedOn w:val="Heading4"/>
    <w:pPr>
      <w:keepLines/>
      <w:tabs>
        <w:tab w:val="left" w:pos="2160"/>
        <w:tab w:val="num" w:pos="4320"/>
      </w:tabs>
      <w:spacing w:before="140" w:after="0" w:line="220" w:lineRule="atLeast"/>
      <w:ind w:left="864" w:firstLine="1440"/>
      <w:jc w:val="center"/>
      <w:outlineLvl w:val="9"/>
    </w:pPr>
    <w:rPr>
      <w:bCs w:val="0"/>
      <w:i/>
      <w:spacing w:val="-4"/>
      <w:kern w:val="28"/>
      <w:sz w:val="18"/>
      <w:szCs w:val="20"/>
    </w:rPr>
  </w:style>
  <w:style w:type="table" w:styleId="TableList2">
    <w:name w:val="Table List 2"/>
    <w:basedOn w:val="TableNormal"/>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ArticleExhL6">
    <w:name w:val="ArticleExh_L6"/>
    <w:basedOn w:val="ArticleExhL5"/>
    <w:next w:val="BodyText"/>
    <w:rsid w:val="00D15BA9"/>
    <w:pPr>
      <w:numPr>
        <w:ilvl w:val="5"/>
      </w:numPr>
      <w:outlineLvl w:val="5"/>
    </w:pPr>
  </w:style>
  <w:style w:type="paragraph" w:styleId="TOC3">
    <w:name w:val="toc 3"/>
    <w:basedOn w:val="Normal"/>
    <w:next w:val="Normal"/>
    <w:autoRedefine/>
    <w:uiPriority w:val="39"/>
    <w:pPr>
      <w:keepLines/>
      <w:tabs>
        <w:tab w:val="right" w:leader="dot" w:pos="9288"/>
      </w:tabs>
      <w:ind w:left="2160" w:right="720" w:hanging="720"/>
    </w:pPr>
    <w:rPr>
      <w:rFonts w:cs="Arial"/>
      <w:szCs w:val="20"/>
    </w:rPr>
  </w:style>
  <w:style w:type="paragraph" w:customStyle="1" w:styleId="TableBoldTitle">
    <w:name w:val="Table Bold Title"/>
    <w:basedOn w:val="BodyText"/>
    <w:pPr>
      <w:jc w:val="center"/>
    </w:pPr>
    <w:rPr>
      <w:b/>
    </w:rPr>
  </w:style>
  <w:style w:type="paragraph" w:customStyle="1" w:styleId="BodyTextIndent1">
    <w:name w:val="Body Text Indent 1"/>
    <w:basedOn w:val="Normal"/>
    <w:pPr>
      <w:tabs>
        <w:tab w:val="left" w:pos="-1800"/>
        <w:tab w:val="left" w:pos="-1440"/>
      </w:tabs>
      <w:spacing w:after="240"/>
      <w:ind w:firstLine="1440"/>
    </w:pPr>
  </w:style>
  <w:style w:type="table" w:styleId="TableClassic2">
    <w:name w:val="Table Classic 2"/>
    <w:basedOn w:val="Table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ArticleL1">
    <w:name w:val="Article_L1"/>
    <w:basedOn w:val="Normal"/>
    <w:next w:val="BodyText"/>
    <w:autoRedefine/>
    <w:rsid w:val="002B7809"/>
    <w:pPr>
      <w:keepNext/>
      <w:numPr>
        <w:numId w:val="20"/>
      </w:numPr>
      <w:spacing w:after="160"/>
      <w:jc w:val="center"/>
      <w:outlineLvl w:val="0"/>
    </w:pPr>
    <w:rPr>
      <w:rFonts w:cs="Arial"/>
      <w:b/>
      <w:szCs w:val="20"/>
    </w:rPr>
  </w:style>
  <w:style w:type="table" w:styleId="TableClassic3">
    <w:name w:val="Table Classic 3"/>
    <w:basedOn w:val="TableNormal"/>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paragraph" w:customStyle="1" w:styleId="ArticleL6">
    <w:name w:val="Article_L6"/>
    <w:basedOn w:val="ArticleL5"/>
    <w:next w:val="BodyText"/>
    <w:rsid w:val="00D15BA9"/>
    <w:pPr>
      <w:numPr>
        <w:ilvl w:val="5"/>
      </w:numPr>
      <w:jc w:val="left"/>
      <w:outlineLvl w:val="5"/>
    </w:pPr>
  </w:style>
  <w:style w:type="table" w:styleId="TableSubtle1">
    <w:name w:val="Table Subtle 1"/>
    <w:basedOn w:val="TableNormal"/>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4">
    <w:name w:val="Table Classic 4"/>
    <w:basedOn w:val="Table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FootnoteBase">
    <w:name w:val="Footnote Base"/>
    <w:basedOn w:val="Normal"/>
    <w:pPr>
      <w:keepLines/>
      <w:spacing w:line="220" w:lineRule="atLeast"/>
      <w:ind w:left="1080"/>
    </w:pPr>
    <w:rPr>
      <w:rFonts w:ascii="Times New Roman" w:hAnsi="Times New Roman"/>
      <w:sz w:val="18"/>
      <w:szCs w:val="20"/>
    </w:rPr>
  </w:style>
  <w:style w:type="table" w:styleId="TableColorful3">
    <w:name w:val="Table Colorful 3"/>
    <w:basedOn w:val="TableNormal"/>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ectionHeading">
    <w:name w:val="Section Heading"/>
    <w:basedOn w:val="Heading1"/>
    <w:pPr>
      <w:keepLines/>
      <w:shd w:val="pct10" w:color="auto" w:fill="auto"/>
      <w:spacing w:before="0" w:after="0"/>
      <w:ind w:left="1350"/>
      <w:jc w:val="center"/>
      <w:outlineLvl w:val="9"/>
    </w:pPr>
    <w:rPr>
      <w:rFonts w:cs="Times New Roman"/>
      <w:bCs w:val="0"/>
      <w:spacing w:val="-10"/>
      <w:kern w:val="28"/>
      <w:position w:val="6"/>
      <w:szCs w:val="20"/>
    </w:rPr>
  </w:style>
  <w:style w:type="table" w:styleId="TableColumns2">
    <w:name w:val="Table Columns 2"/>
    <w:basedOn w:val="TableNormal"/>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Web1">
    <w:name w:val="Table Web 1"/>
    <w:basedOn w:val="Table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Columns4">
    <w:name w:val="Table Columns 4"/>
    <w:basedOn w:val="TableNormal"/>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gal2Cont8">
    <w:name w:val="Legal2 Cont 8"/>
    <w:basedOn w:val="Legal2Cont7"/>
  </w:style>
  <w:style w:type="table" w:styleId="TableGrid1">
    <w:name w:val="Table Grid 1"/>
    <w:basedOn w:val="TableNormal"/>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Simple2">
    <w:name w:val="Table Simple 2"/>
    <w:basedOn w:val="TableNormal"/>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Grid4">
    <w:name w:val="Table Grid 4"/>
    <w:basedOn w:val="TableNormal"/>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6">
    <w:name w:val="Table Grid 6"/>
    <w:basedOn w:val="TableNormal"/>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SignatureDouble">
    <w:name w:val="*Signature Double"/>
    <w:aliases w:val="SD"/>
    <w:basedOn w:val="Normal"/>
    <w:pPr>
      <w:keepLines/>
      <w:tabs>
        <w:tab w:val="right" w:pos="4320"/>
        <w:tab w:val="left" w:pos="5040"/>
        <w:tab w:val="right" w:pos="9360"/>
      </w:tabs>
      <w:spacing w:after="240"/>
      <w:ind w:left="1080"/>
    </w:pPr>
    <w:rPr>
      <w:rFonts w:ascii="Times New Roman" w:hAnsi="Times New Roman"/>
      <w:sz w:val="20"/>
      <w:szCs w:val="20"/>
    </w:rPr>
  </w:style>
  <w:style w:type="table" w:styleId="TableSimple1">
    <w:name w:val="Table Simple 1"/>
    <w:basedOn w:val="TableNormal"/>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Grid7">
    <w:name w:val="Table Grid 7"/>
    <w:basedOn w:val="TableNormal"/>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styleId="PlaceholderText">
    <w:name w:val="Placeholder Text"/>
    <w:uiPriority w:val="99"/>
    <w:semiHidden/>
    <w:rPr>
      <w:color w:val="808080"/>
    </w:rPr>
  </w:style>
  <w:style w:type="paragraph" w:customStyle="1" w:styleId="Legal2Cont1">
    <w:name w:val="Legal2 Cont 1"/>
    <w:basedOn w:val="Normal"/>
    <w:pPr>
      <w:spacing w:after="240"/>
    </w:pPr>
    <w:rPr>
      <w:rFonts w:ascii="Times New Roman" w:hAnsi="Times New Roman"/>
      <w:sz w:val="20"/>
      <w:szCs w:val="20"/>
    </w:rPr>
  </w:style>
  <w:style w:type="table" w:styleId="TableGrid8">
    <w:name w:val="Table Grid 8"/>
    <w:basedOn w:val="TableNormal"/>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BodySingleSp5">
    <w:name w:val="*Body Single Sp .5"/>
    <w:aliases w:val="BS5"/>
    <w:basedOn w:val="Normal"/>
    <w:pPr>
      <w:spacing w:after="240"/>
      <w:ind w:left="1080" w:firstLine="720"/>
    </w:pPr>
    <w:rPr>
      <w:rFonts w:ascii="Times New Roman" w:hAnsi="Times New Roman"/>
      <w:sz w:val="20"/>
      <w:szCs w:val="20"/>
    </w:rPr>
  </w:style>
  <w:style w:type="paragraph" w:customStyle="1" w:styleId="ArticleExhL9">
    <w:name w:val="ArticleExh_L9"/>
    <w:basedOn w:val="ArticleExhL8"/>
    <w:next w:val="BodyText"/>
    <w:rsid w:val="00D15BA9"/>
    <w:pPr>
      <w:numPr>
        <w:ilvl w:val="8"/>
      </w:numPr>
      <w:outlineLvl w:val="8"/>
    </w:pPr>
  </w:style>
  <w:style w:type="paragraph" w:customStyle="1" w:styleId="TableItalicTitle">
    <w:name w:val="Table Italic Title"/>
    <w:basedOn w:val="BodyText"/>
    <w:pPr>
      <w:jc w:val="center"/>
    </w:pPr>
    <w:rPr>
      <w:i/>
    </w:rPr>
  </w:style>
  <w:style w:type="table" w:styleId="TableList1">
    <w:name w:val="Table List 1"/>
    <w:basedOn w:val="TableNormal"/>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MT9">
    <w:name w:val="MT9"/>
    <w:basedOn w:val="Normal"/>
    <w:pPr>
      <w:numPr>
        <w:ilvl w:val="8"/>
        <w:numId w:val="15"/>
      </w:numPr>
      <w:autoSpaceDE w:val="0"/>
      <w:autoSpaceDN w:val="0"/>
      <w:adjustRightInd w:val="0"/>
      <w:spacing w:after="240"/>
      <w:jc w:val="both"/>
      <w:outlineLvl w:val="8"/>
    </w:pPr>
    <w:rPr>
      <w:rFonts w:ascii="Times New Roman" w:hAnsi="Times New Roman"/>
      <w:szCs w:val="20"/>
      <w:lang w:val="en-CA"/>
    </w:rPr>
  </w:style>
  <w:style w:type="table" w:styleId="TableList4">
    <w:name w:val="Table List 4"/>
    <w:basedOn w:val="TableNormal"/>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MT8">
    <w:name w:val="MT8"/>
    <w:basedOn w:val="Normal"/>
    <w:pPr>
      <w:numPr>
        <w:ilvl w:val="7"/>
        <w:numId w:val="15"/>
      </w:numPr>
      <w:autoSpaceDE w:val="0"/>
      <w:autoSpaceDN w:val="0"/>
      <w:adjustRightInd w:val="0"/>
      <w:spacing w:after="240"/>
      <w:jc w:val="both"/>
      <w:outlineLvl w:val="7"/>
    </w:pPr>
    <w:rPr>
      <w:rFonts w:ascii="Times New Roman" w:hAnsi="Times New Roman"/>
      <w:szCs w:val="20"/>
      <w:lang w:val="en-CA"/>
    </w:rPr>
  </w:style>
  <w:style w:type="table" w:styleId="TableList5">
    <w:name w:val="Table List 5"/>
    <w:basedOn w:val="TableNormal"/>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MT5">
    <w:name w:val="MT5"/>
    <w:basedOn w:val="Normal"/>
    <w:pPr>
      <w:numPr>
        <w:ilvl w:val="4"/>
        <w:numId w:val="15"/>
      </w:numPr>
      <w:autoSpaceDE w:val="0"/>
      <w:autoSpaceDN w:val="0"/>
      <w:adjustRightInd w:val="0"/>
      <w:spacing w:after="240"/>
      <w:jc w:val="both"/>
      <w:outlineLvl w:val="4"/>
    </w:pPr>
    <w:rPr>
      <w:rFonts w:ascii="Times New Roman" w:hAnsi="Times New Roman"/>
      <w:szCs w:val="20"/>
      <w:lang w:val="en-CA"/>
    </w:rPr>
  </w:style>
  <w:style w:type="table" w:styleId="TableList8">
    <w:name w:val="Table List 8"/>
    <w:basedOn w:val="TableNormal"/>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ArticleL5">
    <w:name w:val="Article_L5"/>
    <w:basedOn w:val="ArticleL4"/>
    <w:next w:val="BodyText"/>
    <w:rsid w:val="00D15BA9"/>
    <w:pPr>
      <w:numPr>
        <w:ilvl w:val="4"/>
      </w:numPr>
      <w:outlineLvl w:val="4"/>
    </w:pPr>
  </w:style>
  <w:style w:type="table" w:styleId="TableSubtle2">
    <w:name w:val="Table Subtle 2"/>
    <w:basedOn w:val="TableNormal"/>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Text">
    <w:name w:val="Table Text"/>
    <w:basedOn w:val="BodyText"/>
  </w:style>
  <w:style w:type="table" w:styleId="TableTheme">
    <w:name w:val="Table Theme"/>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UnderlineTitle">
    <w:name w:val="Table Underline Title"/>
    <w:basedOn w:val="BodyText"/>
    <w:pPr>
      <w:jc w:val="center"/>
    </w:pPr>
    <w:rPr>
      <w:u w:val="single"/>
    </w:rPr>
  </w:style>
  <w:style w:type="table" w:styleId="TableWeb3">
    <w:name w:val="Table Web 3"/>
    <w:basedOn w:val="TableNormal"/>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MacPacTrailer">
    <w:name w:val="MacPac Trailer"/>
    <w:rsid w:val="00D15BA9"/>
    <w:pPr>
      <w:widowControl w:val="0"/>
      <w:spacing w:line="200" w:lineRule="exact"/>
    </w:pPr>
    <w:rPr>
      <w:rFonts w:ascii="Tahoma" w:hAnsi="Tahoma"/>
      <w:sz w:val="16"/>
      <w:szCs w:val="22"/>
    </w:rPr>
  </w:style>
  <w:style w:type="paragraph" w:styleId="Title">
    <w:name w:val="Title"/>
    <w:aliases w:val="t"/>
    <w:basedOn w:val="BodyText"/>
    <w:next w:val="BodyText"/>
    <w:link w:val="TitleChar"/>
    <w:qFormat/>
    <w:pPr>
      <w:keepNext/>
      <w:jc w:val="center"/>
      <w:outlineLvl w:val="0"/>
    </w:pPr>
    <w:rPr>
      <w:b/>
      <w:bCs/>
    </w:rPr>
  </w:style>
  <w:style w:type="paragraph" w:customStyle="1" w:styleId="Quote011">
    <w:name w:val="*Quote 0/1/1"/>
    <w:aliases w:val="Q"/>
    <w:basedOn w:val="Normal"/>
    <w:rsid w:val="00D15BA9"/>
    <w:pPr>
      <w:numPr>
        <w:numId w:val="26"/>
      </w:numPr>
      <w:tabs>
        <w:tab w:val="clear" w:pos="1440"/>
      </w:tabs>
      <w:spacing w:after="240"/>
      <w:ind w:left="1440" w:right="1440" w:firstLine="0"/>
      <w:jc w:val="both"/>
    </w:pPr>
    <w:rPr>
      <w:rFonts w:ascii="Times New Roman" w:hAnsi="Times New Roman"/>
      <w:sz w:val="20"/>
      <w:szCs w:val="20"/>
    </w:rPr>
  </w:style>
  <w:style w:type="paragraph" w:customStyle="1" w:styleId="ArticleCont8">
    <w:name w:val="Article Cont 8"/>
    <w:basedOn w:val="ArticleCont7"/>
  </w:style>
  <w:style w:type="paragraph" w:customStyle="1" w:styleId="Title2">
    <w:name w:val="Title 2"/>
    <w:basedOn w:val="BodyText"/>
    <w:next w:val="BodyText"/>
    <w:pPr>
      <w:keepNext/>
    </w:pPr>
    <w:rPr>
      <w:b/>
    </w:rPr>
  </w:style>
  <w:style w:type="paragraph" w:styleId="TableofFigures">
    <w:name w:val="table of figures"/>
    <w:basedOn w:val="TOCBase"/>
    <w:pPr>
      <w:ind w:left="1440" w:hanging="360"/>
    </w:pPr>
  </w:style>
  <w:style w:type="paragraph" w:customStyle="1" w:styleId="TitleCoverPage">
    <w:name w:val="Title Cover Page"/>
    <w:basedOn w:val="Normal"/>
    <w:pPr>
      <w:spacing w:before="980" w:after="240"/>
      <w:jc w:val="center"/>
    </w:pPr>
    <w:rPr>
      <w:b/>
      <w:smallCaps/>
      <w:sz w:val="32"/>
    </w:rPr>
  </w:style>
  <w:style w:type="paragraph" w:customStyle="1" w:styleId="ArticleCont1">
    <w:name w:val="Article Cont 1"/>
    <w:basedOn w:val="Normal"/>
    <w:pPr>
      <w:spacing w:after="240"/>
    </w:pPr>
    <w:rPr>
      <w:rFonts w:cs="Arial"/>
      <w:szCs w:val="20"/>
    </w:rPr>
  </w:style>
  <w:style w:type="paragraph" w:customStyle="1" w:styleId="ArticleCont2">
    <w:name w:val="Article Cont 2"/>
    <w:basedOn w:val="ArticleCont1"/>
  </w:style>
  <w:style w:type="paragraph" w:customStyle="1" w:styleId="ArticleCont3">
    <w:name w:val="Article Cont 3"/>
    <w:basedOn w:val="ArticleCont2"/>
  </w:style>
  <w:style w:type="paragraph" w:customStyle="1" w:styleId="ArticleCont4">
    <w:name w:val="Article Cont 4"/>
    <w:basedOn w:val="ArticleCont3"/>
  </w:style>
  <w:style w:type="paragraph" w:customStyle="1" w:styleId="TOCHeader">
    <w:name w:val="TOC Header"/>
    <w:basedOn w:val="Normal"/>
    <w:pPr>
      <w:ind w:left="115" w:right="115"/>
      <w:jc w:val="center"/>
    </w:pPr>
    <w:rPr>
      <w:rFonts w:cs="Arial"/>
      <w:szCs w:val="20"/>
    </w:rPr>
  </w:style>
  <w:style w:type="paragraph" w:customStyle="1" w:styleId="ArticleCont5">
    <w:name w:val="Article Cont 5"/>
    <w:basedOn w:val="ArticleCont4"/>
  </w:style>
  <w:style w:type="paragraph" w:customStyle="1" w:styleId="ArticleCont7">
    <w:name w:val="Article Cont 7"/>
    <w:basedOn w:val="ArticleCont6"/>
  </w:style>
  <w:style w:type="paragraph" w:customStyle="1" w:styleId="ArticleCont9">
    <w:name w:val="Article Cont 9"/>
    <w:basedOn w:val="ArticleCont8"/>
  </w:style>
  <w:style w:type="character" w:customStyle="1" w:styleId="SubtitleChar">
    <w:name w:val="Subtitle Char"/>
    <w:link w:val="Subtitle"/>
    <w:rPr>
      <w:rFonts w:ascii="Arial" w:hAnsi="Arial" w:cs="Arial"/>
      <w:sz w:val="24"/>
      <w:szCs w:val="24"/>
    </w:rPr>
  </w:style>
  <w:style w:type="paragraph" w:customStyle="1" w:styleId="ArticleL4">
    <w:name w:val="Article_L4"/>
    <w:basedOn w:val="ArticleL3"/>
    <w:next w:val="BodyText"/>
    <w:rsid w:val="00D15BA9"/>
    <w:pPr>
      <w:numPr>
        <w:ilvl w:val="3"/>
      </w:numPr>
      <w:outlineLvl w:val="3"/>
    </w:pPr>
  </w:style>
  <w:style w:type="paragraph" w:customStyle="1" w:styleId="ArticleL8">
    <w:name w:val="Article_L8"/>
    <w:basedOn w:val="ArticleL7"/>
    <w:next w:val="BodyText"/>
    <w:rsid w:val="00D15BA9"/>
    <w:pPr>
      <w:numPr>
        <w:ilvl w:val="7"/>
      </w:numPr>
      <w:outlineLvl w:val="7"/>
    </w:pPr>
  </w:style>
  <w:style w:type="paragraph" w:customStyle="1" w:styleId="CommentText1">
    <w:name w:val="CommentText_1"/>
    <w:link w:val="CommentTextChar"/>
    <w:pPr>
      <w:spacing w:after="240"/>
    </w:pPr>
    <w:rPr>
      <w:rFonts w:ascii="Arial" w:hAnsi="Arial"/>
      <w:lang w:val="x-none" w:eastAsia="x-none"/>
    </w:rPr>
  </w:style>
  <w:style w:type="paragraph" w:customStyle="1" w:styleId="ArticleL9">
    <w:name w:val="Article_L9"/>
    <w:basedOn w:val="ArticleL8"/>
    <w:next w:val="BodyText"/>
    <w:rsid w:val="00D15BA9"/>
    <w:pPr>
      <w:numPr>
        <w:ilvl w:val="8"/>
      </w:numPr>
      <w:outlineLvl w:val="8"/>
    </w:pPr>
  </w:style>
  <w:style w:type="paragraph" w:customStyle="1" w:styleId="Style1">
    <w:name w:val="Style1"/>
    <w:basedOn w:val="Tab2"/>
    <w:rPr>
      <w:i/>
    </w:rPr>
  </w:style>
  <w:style w:type="character" w:customStyle="1" w:styleId="BodyTextChar">
    <w:name w:val="Body Text Char"/>
    <w:aliases w:val="bt Char"/>
    <w:link w:val="BodyText"/>
    <w:rPr>
      <w:rFonts w:ascii="Arial" w:hAnsi="Arial"/>
      <w:sz w:val="24"/>
      <w:szCs w:val="24"/>
    </w:rPr>
  </w:style>
  <w:style w:type="paragraph" w:customStyle="1" w:styleId="Legal2Cont2">
    <w:name w:val="Legal2 Cont 2"/>
    <w:basedOn w:val="Legal2Cont1"/>
  </w:style>
  <w:style w:type="paragraph" w:customStyle="1" w:styleId="Tab2Hang">
    <w:name w:val="Tab 2 Hang"/>
    <w:basedOn w:val="Tab2"/>
    <w:pPr>
      <w:ind w:left="2880" w:hanging="2880"/>
    </w:pPr>
  </w:style>
  <w:style w:type="paragraph" w:customStyle="1" w:styleId="Center">
    <w:name w:val="Center"/>
    <w:basedOn w:val="Normal"/>
    <w:pPr>
      <w:jc w:val="center"/>
      <w:outlineLvl w:val="0"/>
    </w:pPr>
  </w:style>
  <w:style w:type="paragraph" w:customStyle="1" w:styleId="h5text">
    <w:name w:val="h5text"/>
    <w:basedOn w:val="h2text0"/>
    <w:pPr>
      <w:tabs>
        <w:tab w:val="clear" w:pos="-720"/>
      </w:tabs>
      <w:spacing w:line="240" w:lineRule="auto"/>
      <w:ind w:left="2610"/>
    </w:pPr>
    <w:rPr>
      <w:rFonts w:ascii="Times New Roman" w:hAnsi="Times New Roman"/>
    </w:rPr>
  </w:style>
  <w:style w:type="paragraph" w:customStyle="1" w:styleId="Tab25Hang">
    <w:name w:val="Tab 2.5 Hang"/>
    <w:basedOn w:val="Normal"/>
    <w:pPr>
      <w:widowControl w:val="0"/>
      <w:tabs>
        <w:tab w:val="left" w:pos="3600"/>
      </w:tabs>
      <w:spacing w:after="240"/>
      <w:ind w:left="3600" w:hanging="3600"/>
    </w:pPr>
  </w:style>
  <w:style w:type="paragraph" w:customStyle="1" w:styleId="ArticleExhL4">
    <w:name w:val="ArticleExh_L4"/>
    <w:basedOn w:val="ArticleExhL3"/>
    <w:next w:val="BodyText"/>
    <w:rsid w:val="00D15BA9"/>
    <w:pPr>
      <w:numPr>
        <w:ilvl w:val="3"/>
      </w:numPr>
      <w:jc w:val="left"/>
      <w:outlineLvl w:val="3"/>
    </w:pPr>
  </w:style>
  <w:style w:type="paragraph" w:styleId="TOC1">
    <w:name w:val="toc 1"/>
    <w:basedOn w:val="Normal"/>
    <w:next w:val="Normal"/>
    <w:autoRedefine/>
    <w:uiPriority w:val="39"/>
    <w:rsid w:val="0036414B"/>
    <w:pPr>
      <w:keepLines/>
      <w:tabs>
        <w:tab w:val="right" w:leader="dot" w:pos="9288"/>
      </w:tabs>
      <w:spacing w:before="120" w:after="120"/>
      <w:ind w:right="720"/>
    </w:pPr>
    <w:rPr>
      <w:rFonts w:cs="Arial"/>
      <w:b/>
      <w:szCs w:val="20"/>
    </w:rPr>
  </w:style>
  <w:style w:type="character" w:customStyle="1" w:styleId="ArticleL2Char">
    <w:name w:val="Article_L2 Char"/>
    <w:basedOn w:val="DefaultParagraphFont"/>
    <w:link w:val="ArticleL2"/>
    <w:rsid w:val="003F191C"/>
    <w:rPr>
      <w:rFonts w:ascii="Arial" w:hAnsi="Arial" w:cs="Arial"/>
      <w:sz w:val="24"/>
    </w:rPr>
  </w:style>
  <w:style w:type="paragraph" w:customStyle="1" w:styleId="ArticleExhL7">
    <w:name w:val="ArticleExh_L7"/>
    <w:basedOn w:val="ArticleExhL6"/>
    <w:next w:val="BodyText"/>
    <w:rsid w:val="00D15BA9"/>
    <w:pPr>
      <w:numPr>
        <w:ilvl w:val="6"/>
      </w:numPr>
      <w:outlineLvl w:val="6"/>
    </w:pPr>
  </w:style>
  <w:style w:type="character" w:customStyle="1" w:styleId="DeltaViewInsertion">
    <w:name w:val="DeltaView Insertion"/>
    <w:rPr>
      <w:color w:val="0000FF"/>
      <w:spacing w:val="0"/>
      <w:u w:val="double"/>
    </w:rPr>
  </w:style>
  <w:style w:type="paragraph" w:styleId="TOC2">
    <w:name w:val="toc 2"/>
    <w:basedOn w:val="Normal"/>
    <w:next w:val="Normal"/>
    <w:autoRedefine/>
    <w:uiPriority w:val="39"/>
    <w:rsid w:val="009F3C3E"/>
    <w:pPr>
      <w:keepLines/>
      <w:tabs>
        <w:tab w:val="left" w:pos="1440"/>
        <w:tab w:val="right" w:leader="dot" w:pos="9288"/>
      </w:tabs>
      <w:ind w:left="1440" w:right="720" w:hanging="720"/>
    </w:pPr>
    <w:rPr>
      <w:rFonts w:cs="Arial"/>
      <w:szCs w:val="20"/>
    </w:rPr>
  </w:style>
  <w:style w:type="paragraph" w:customStyle="1" w:styleId="CenterUnderline">
    <w:name w:val="Center Underline"/>
    <w:basedOn w:val="Normal"/>
    <w:next w:val="BodyText"/>
    <w:pPr>
      <w:keepNext/>
      <w:spacing w:after="240"/>
      <w:jc w:val="center"/>
    </w:pPr>
    <w:rPr>
      <w:rFonts w:ascii="Times New Roman" w:hAnsi="Times New Roman"/>
      <w:b/>
      <w:caps/>
      <w:u w:val="single"/>
    </w:rPr>
  </w:style>
  <w:style w:type="paragraph" w:customStyle="1" w:styleId="TxBrc2">
    <w:name w:val="TxBr_c2"/>
    <w:basedOn w:val="Normal"/>
    <w:pPr>
      <w:widowControl w:val="0"/>
      <w:spacing w:line="240" w:lineRule="atLeast"/>
      <w:jc w:val="center"/>
    </w:pPr>
    <w:rPr>
      <w:rFonts w:ascii="Times New Roman" w:hAnsi="Times New Roman"/>
      <w:szCs w:val="20"/>
    </w:rPr>
  </w:style>
  <w:style w:type="paragraph" w:customStyle="1" w:styleId="TitleCover">
    <w:name w:val="Title Cover"/>
    <w:basedOn w:val="HeadingBase"/>
    <w:next w:val="SubtitleCover"/>
    <w:pPr>
      <w:spacing w:before="1800" w:line="240" w:lineRule="atLeast"/>
    </w:pPr>
    <w:rPr>
      <w:b/>
      <w:spacing w:val="-48"/>
      <w:sz w:val="72"/>
    </w:rPr>
  </w:style>
  <w:style w:type="paragraph" w:styleId="TOC5">
    <w:name w:val="toc 5"/>
    <w:basedOn w:val="Normal"/>
    <w:next w:val="Normal"/>
    <w:autoRedefine/>
    <w:uiPriority w:val="39"/>
    <w:pPr>
      <w:keepLines/>
      <w:tabs>
        <w:tab w:val="right" w:leader="dot" w:pos="9288"/>
      </w:tabs>
      <w:ind w:left="3600" w:right="720" w:hanging="720"/>
    </w:pPr>
    <w:rPr>
      <w:rFonts w:cs="Arial"/>
      <w:szCs w:val="20"/>
    </w:rPr>
  </w:style>
  <w:style w:type="paragraph" w:customStyle="1" w:styleId="ArticleExhL2">
    <w:name w:val="ArticleExh_L2"/>
    <w:basedOn w:val="ArticleExhL1"/>
    <w:next w:val="BodyText"/>
    <w:rsid w:val="00D15BA9"/>
    <w:pPr>
      <w:numPr>
        <w:ilvl w:val="1"/>
      </w:numPr>
      <w:jc w:val="both"/>
      <w:outlineLvl w:val="1"/>
    </w:pPr>
    <w:rPr>
      <w:b w:val="0"/>
      <w:caps w:val="0"/>
    </w:rPr>
  </w:style>
  <w:style w:type="paragraph" w:styleId="TOC7">
    <w:name w:val="toc 7"/>
    <w:basedOn w:val="Normal"/>
    <w:next w:val="Normal"/>
    <w:autoRedefine/>
    <w:uiPriority w:val="39"/>
    <w:pPr>
      <w:keepLines/>
      <w:tabs>
        <w:tab w:val="right" w:leader="dot" w:pos="9288"/>
      </w:tabs>
      <w:ind w:left="5040" w:right="720" w:hanging="720"/>
    </w:pPr>
    <w:rPr>
      <w:rFonts w:cs="Arial"/>
      <w:szCs w:val="20"/>
    </w:rPr>
  </w:style>
  <w:style w:type="paragraph" w:styleId="TOC8">
    <w:name w:val="toc 8"/>
    <w:basedOn w:val="Normal"/>
    <w:next w:val="Normal"/>
    <w:autoRedefine/>
    <w:uiPriority w:val="39"/>
    <w:pPr>
      <w:keepLines/>
      <w:tabs>
        <w:tab w:val="right" w:leader="dot" w:pos="9288"/>
      </w:tabs>
      <w:ind w:left="5760" w:right="720" w:hanging="720"/>
    </w:pPr>
    <w:rPr>
      <w:rFonts w:cs="Arial"/>
      <w:szCs w:val="20"/>
    </w:rPr>
  </w:style>
  <w:style w:type="paragraph" w:styleId="TOC9">
    <w:name w:val="toc 9"/>
    <w:basedOn w:val="Normal"/>
    <w:next w:val="Normal"/>
    <w:autoRedefine/>
    <w:uiPriority w:val="39"/>
    <w:pPr>
      <w:keepLines/>
      <w:tabs>
        <w:tab w:val="right" w:leader="dot" w:pos="9288"/>
      </w:tabs>
      <w:ind w:left="6480" w:right="720" w:hanging="720"/>
    </w:pPr>
    <w:rPr>
      <w:rFonts w:cs="Arial"/>
      <w:szCs w:val="20"/>
    </w:rPr>
  </w:style>
  <w:style w:type="paragraph" w:customStyle="1" w:styleId="BylawsL1">
    <w:name w:val="Bylaws_L1"/>
    <w:basedOn w:val="Normal"/>
    <w:next w:val="BodyText"/>
    <w:rsid w:val="00D15BA9"/>
    <w:pPr>
      <w:numPr>
        <w:numId w:val="13"/>
      </w:numPr>
      <w:autoSpaceDE w:val="0"/>
      <w:autoSpaceDN w:val="0"/>
      <w:adjustRightInd w:val="0"/>
      <w:spacing w:after="240"/>
      <w:jc w:val="center"/>
      <w:outlineLvl w:val="0"/>
    </w:pPr>
    <w:rPr>
      <w:rFonts w:ascii="Times New Roman" w:hAnsi="Times New Roman"/>
      <w:b/>
      <w:caps/>
      <w:szCs w:val="20"/>
    </w:rPr>
  </w:style>
  <w:style w:type="paragraph" w:customStyle="1" w:styleId="BylawsL2">
    <w:name w:val="Bylaws_L2"/>
    <w:basedOn w:val="BylawsL1"/>
    <w:next w:val="BodyText"/>
    <w:rsid w:val="00D15BA9"/>
    <w:pPr>
      <w:numPr>
        <w:ilvl w:val="1"/>
      </w:numPr>
      <w:jc w:val="both"/>
      <w:outlineLvl w:val="1"/>
    </w:pPr>
    <w:rPr>
      <w:b w:val="0"/>
      <w:caps w:val="0"/>
    </w:rPr>
  </w:style>
  <w:style w:type="character" w:customStyle="1" w:styleId="Style2Char">
    <w:name w:val="Style2 Char"/>
    <w:link w:val="Style2"/>
    <w:rPr>
      <w:rFonts w:ascii="Arial" w:hAnsi="Arial" w:cs="Arial"/>
      <w:sz w:val="24"/>
      <w:szCs w:val="24"/>
    </w:rPr>
  </w:style>
  <w:style w:type="paragraph" w:customStyle="1" w:styleId="BylawsL3">
    <w:name w:val="Bylaws_L3"/>
    <w:basedOn w:val="BylawsL2"/>
    <w:next w:val="BodyText"/>
    <w:rsid w:val="00D15BA9"/>
    <w:pPr>
      <w:numPr>
        <w:ilvl w:val="2"/>
      </w:numPr>
      <w:ind w:left="360" w:firstLine="0"/>
      <w:outlineLvl w:val="2"/>
    </w:pPr>
  </w:style>
  <w:style w:type="paragraph" w:customStyle="1" w:styleId="BylawsL4">
    <w:name w:val="Bylaws_L4"/>
    <w:basedOn w:val="BylawsL3"/>
    <w:next w:val="BodyText"/>
    <w:rsid w:val="00D15BA9"/>
    <w:pPr>
      <w:numPr>
        <w:ilvl w:val="3"/>
      </w:numPr>
      <w:ind w:hanging="360"/>
      <w:outlineLvl w:val="3"/>
    </w:pPr>
  </w:style>
  <w:style w:type="paragraph" w:customStyle="1" w:styleId="BylawsL5">
    <w:name w:val="Bylaws_L5"/>
    <w:basedOn w:val="BylawsL4"/>
    <w:next w:val="BodyText"/>
    <w:rsid w:val="00D15BA9"/>
    <w:pPr>
      <w:numPr>
        <w:ilvl w:val="4"/>
      </w:numPr>
      <w:ind w:left="0"/>
      <w:jc w:val="left"/>
      <w:outlineLvl w:val="4"/>
    </w:pPr>
  </w:style>
  <w:style w:type="paragraph" w:customStyle="1" w:styleId="APPENDIX">
    <w:name w:val="APPENDIX"/>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customStyle="1" w:styleId="Title16">
    <w:name w:val="Title 16"/>
    <w:basedOn w:val="Normal"/>
    <w:pPr>
      <w:autoSpaceDE w:val="0"/>
      <w:autoSpaceDN w:val="0"/>
      <w:adjustRightInd w:val="0"/>
      <w:spacing w:before="980" w:after="240"/>
      <w:jc w:val="center"/>
    </w:pPr>
    <w:rPr>
      <w:rFonts w:cs="Arial"/>
      <w:b/>
      <w:smallCaps/>
      <w:sz w:val="32"/>
      <w:szCs w:val="32"/>
    </w:rPr>
  </w:style>
  <w:style w:type="paragraph" w:customStyle="1" w:styleId="Legal2L1">
    <w:name w:val="Legal2_L1"/>
    <w:basedOn w:val="Normal"/>
    <w:next w:val="BodyText"/>
    <w:pPr>
      <w:tabs>
        <w:tab w:val="num" w:pos="720"/>
      </w:tabs>
      <w:spacing w:after="240"/>
      <w:outlineLvl w:val="0"/>
    </w:pPr>
    <w:rPr>
      <w:rFonts w:ascii="Times New Roman" w:hAnsi="Times New Roman"/>
      <w:sz w:val="20"/>
      <w:szCs w:val="20"/>
    </w:rPr>
  </w:style>
  <w:style w:type="paragraph" w:styleId="BlockText">
    <w:name w:val="Block Text"/>
    <w:basedOn w:val="BodyText"/>
    <w:next w:val="BodyText"/>
    <w:pPr>
      <w:spacing w:after="0"/>
      <w:ind w:left="1440" w:right="1440"/>
      <w:jc w:val="both"/>
    </w:pPr>
  </w:style>
  <w:style w:type="paragraph" w:customStyle="1" w:styleId="HeadingBase">
    <w:name w:val="Heading Base"/>
    <w:basedOn w:val="Normal"/>
    <w:next w:val="BodyText"/>
    <w:pPr>
      <w:keepNext/>
      <w:keepLines/>
      <w:spacing w:before="140" w:line="220" w:lineRule="atLeast"/>
      <w:ind w:left="1080"/>
    </w:pPr>
    <w:rPr>
      <w:spacing w:val="-4"/>
      <w:kern w:val="28"/>
      <w:sz w:val="22"/>
      <w:szCs w:val="20"/>
    </w:rPr>
  </w:style>
  <w:style w:type="paragraph" w:customStyle="1" w:styleId="Otten5L7">
    <w:name w:val="Otten5_L7"/>
    <w:basedOn w:val="Otten5L6"/>
    <w:next w:val="Normal"/>
    <w:rsid w:val="00D15BA9"/>
    <w:pPr>
      <w:numPr>
        <w:ilvl w:val="6"/>
      </w:numPr>
      <w:outlineLvl w:val="6"/>
    </w:pPr>
  </w:style>
  <w:style w:type="paragraph" w:customStyle="1" w:styleId="HeaderBase">
    <w:name w:val="Header Base"/>
    <w:basedOn w:val="Normal"/>
    <w:pPr>
      <w:keepLines/>
      <w:tabs>
        <w:tab w:val="center" w:pos="4320"/>
        <w:tab w:val="right" w:pos="8640"/>
      </w:tabs>
    </w:pPr>
    <w:rPr>
      <w:spacing w:val="-4"/>
      <w:sz w:val="20"/>
      <w:szCs w:val="20"/>
    </w:rPr>
  </w:style>
  <w:style w:type="paragraph" w:styleId="DocumentMap">
    <w:name w:val="Document Map"/>
    <w:basedOn w:val="Normal"/>
    <w:pPr>
      <w:widowControl w:val="0"/>
      <w:shd w:val="clear" w:color="auto" w:fill="000080"/>
      <w:spacing w:after="200"/>
      <w:ind w:left="1080"/>
    </w:pPr>
    <w:rPr>
      <w:rFonts w:ascii="Tahoma" w:hAnsi="Tahoma"/>
      <w:sz w:val="20"/>
      <w:szCs w:val="20"/>
    </w:rPr>
  </w:style>
  <w:style w:type="paragraph" w:customStyle="1" w:styleId="MT2">
    <w:name w:val="MT2"/>
    <w:basedOn w:val="Normal"/>
    <w:pPr>
      <w:numPr>
        <w:ilvl w:val="1"/>
        <w:numId w:val="15"/>
      </w:numPr>
      <w:autoSpaceDE w:val="0"/>
      <w:autoSpaceDN w:val="0"/>
      <w:adjustRightInd w:val="0"/>
      <w:spacing w:after="240"/>
      <w:jc w:val="both"/>
      <w:outlineLvl w:val="1"/>
    </w:pPr>
    <w:rPr>
      <w:rFonts w:ascii="Times New Roman" w:hAnsi="Times New Roman"/>
      <w:szCs w:val="20"/>
      <w:lang w:val="en-CA"/>
    </w:rPr>
  </w:style>
  <w:style w:type="paragraph" w:customStyle="1" w:styleId="numtab2">
    <w:name w:val="numtab2"/>
    <w:basedOn w:val="Normal"/>
    <w:pPr>
      <w:widowControl w:val="0"/>
      <w:spacing w:after="200"/>
      <w:ind w:left="1440" w:hanging="720"/>
    </w:pPr>
    <w:rPr>
      <w:rFonts w:ascii="Times New Roman" w:hAnsi="Times New Roman"/>
      <w:sz w:val="20"/>
      <w:szCs w:val="20"/>
    </w:rPr>
  </w:style>
  <w:style w:type="paragraph" w:customStyle="1" w:styleId="MT3">
    <w:name w:val="MT3"/>
    <w:basedOn w:val="Normal"/>
    <w:pPr>
      <w:numPr>
        <w:ilvl w:val="2"/>
        <w:numId w:val="15"/>
      </w:numPr>
      <w:autoSpaceDE w:val="0"/>
      <w:autoSpaceDN w:val="0"/>
      <w:adjustRightInd w:val="0"/>
      <w:spacing w:after="240"/>
      <w:jc w:val="both"/>
      <w:outlineLvl w:val="2"/>
    </w:pPr>
    <w:rPr>
      <w:rFonts w:ascii="Times New Roman" w:hAnsi="Times New Roman"/>
      <w:szCs w:val="20"/>
      <w:lang w:val="en-CA"/>
    </w:rPr>
  </w:style>
  <w:style w:type="paragraph" w:customStyle="1" w:styleId="numtab3">
    <w:name w:val="numtab3"/>
    <w:basedOn w:val="Normal"/>
    <w:pPr>
      <w:widowControl w:val="0"/>
      <w:spacing w:after="200"/>
      <w:ind w:left="1980" w:hanging="540"/>
    </w:pPr>
    <w:rPr>
      <w:rFonts w:ascii="Times New Roman" w:hAnsi="Times New Roman"/>
      <w:sz w:val="20"/>
      <w:szCs w:val="20"/>
    </w:rPr>
  </w:style>
  <w:style w:type="paragraph" w:customStyle="1" w:styleId="h2text0">
    <w:name w:val="h2text"/>
    <w:basedOn w:val="Normal"/>
    <w:pPr>
      <w:tabs>
        <w:tab w:val="left" w:pos="-720"/>
      </w:tabs>
      <w:spacing w:after="200" w:line="240" w:lineRule="atLeast"/>
      <w:ind w:left="720"/>
    </w:pPr>
    <w:rPr>
      <w:rFonts w:ascii="Times" w:hAnsi="Times"/>
      <w:sz w:val="20"/>
      <w:szCs w:val="20"/>
    </w:rPr>
  </w:style>
  <w:style w:type="paragraph" w:customStyle="1" w:styleId="H2text">
    <w:name w:val="H2text"/>
    <w:basedOn w:val="Normal"/>
    <w:pPr>
      <w:widowControl w:val="0"/>
      <w:tabs>
        <w:tab w:val="left" w:pos="-720"/>
      </w:tabs>
      <w:spacing w:after="200" w:line="240" w:lineRule="atLeast"/>
      <w:ind w:left="720"/>
    </w:pPr>
    <w:rPr>
      <w:rFonts w:ascii="Times New Roman" w:hAnsi="Times New Roman"/>
      <w:color w:val="000000"/>
      <w:sz w:val="20"/>
      <w:szCs w:val="20"/>
    </w:rPr>
  </w:style>
  <w:style w:type="paragraph" w:customStyle="1" w:styleId="BodyTextKeep">
    <w:name w:val="Body Text Keep"/>
    <w:basedOn w:val="BodyText"/>
    <w:pPr>
      <w:keepNext/>
      <w:spacing w:after="220" w:line="220" w:lineRule="atLeast"/>
      <w:ind w:left="1080"/>
    </w:pPr>
    <w:rPr>
      <w:rFonts w:ascii="Times New Roman" w:hAnsi="Times New Roman"/>
      <w:sz w:val="20"/>
      <w:szCs w:val="20"/>
    </w:rPr>
  </w:style>
  <w:style w:type="paragraph" w:customStyle="1" w:styleId="H3text">
    <w:name w:val="H3text"/>
    <w:basedOn w:val="H2text"/>
    <w:pPr>
      <w:ind w:left="1440"/>
    </w:pPr>
  </w:style>
  <w:style w:type="paragraph" w:customStyle="1" w:styleId="Heading21">
    <w:name w:val="Heading 2.1"/>
    <w:basedOn w:val="Heading2"/>
    <w:pPr>
      <w:keepLines/>
      <w:tabs>
        <w:tab w:val="num" w:pos="2880"/>
      </w:tabs>
      <w:spacing w:before="140" w:after="0" w:line="220" w:lineRule="atLeast"/>
      <w:outlineLvl w:val="9"/>
    </w:pPr>
    <w:rPr>
      <w:rFonts w:cs="Times New Roman"/>
      <w:bCs w:val="0"/>
      <w:i w:val="0"/>
      <w:iCs w:val="0"/>
      <w:smallCaps/>
      <w:spacing w:val="-4"/>
      <w:kern w:val="28"/>
      <w:szCs w:val="20"/>
    </w:rPr>
  </w:style>
  <w:style w:type="paragraph" w:customStyle="1" w:styleId="Tax1L5">
    <w:name w:val="Tax1_L5"/>
    <w:basedOn w:val="Tax1L4"/>
    <w:next w:val="Normal"/>
    <w:rsid w:val="00D15BA9"/>
    <w:pPr>
      <w:numPr>
        <w:ilvl w:val="4"/>
      </w:numPr>
      <w:outlineLvl w:val="4"/>
    </w:pPr>
  </w:style>
  <w:style w:type="paragraph" w:styleId="Index3">
    <w:name w:val="index 3"/>
    <w:basedOn w:val="IndexBase"/>
    <w:pPr>
      <w:tabs>
        <w:tab w:val="right" w:pos="4080"/>
      </w:tabs>
      <w:ind w:left="720" w:hanging="360"/>
    </w:pPr>
  </w:style>
  <w:style w:type="paragraph" w:customStyle="1" w:styleId="TOCBase">
    <w:name w:val="TOC Base"/>
    <w:basedOn w:val="Normal"/>
    <w:pPr>
      <w:tabs>
        <w:tab w:val="right" w:leader="dot" w:pos="6480"/>
      </w:tabs>
      <w:spacing w:after="220" w:line="220" w:lineRule="atLeast"/>
    </w:pPr>
    <w:rPr>
      <w:sz w:val="20"/>
      <w:szCs w:val="20"/>
    </w:rPr>
  </w:style>
  <w:style w:type="paragraph" w:customStyle="1" w:styleId="Tax1L1">
    <w:name w:val="Tax1_L1"/>
    <w:basedOn w:val="Normal"/>
    <w:next w:val="Normal"/>
    <w:rsid w:val="00D15BA9"/>
    <w:pPr>
      <w:numPr>
        <w:numId w:val="18"/>
      </w:numPr>
      <w:spacing w:after="240"/>
      <w:jc w:val="center"/>
      <w:outlineLvl w:val="0"/>
    </w:pPr>
    <w:rPr>
      <w:rFonts w:ascii="Times New Roman" w:hAnsi="Times New Roman"/>
      <w:b/>
      <w:szCs w:val="20"/>
    </w:rPr>
  </w:style>
  <w:style w:type="paragraph" w:customStyle="1" w:styleId="PartLabel">
    <w:name w:val="Part Label"/>
    <w:basedOn w:val="HeadingBase"/>
    <w:next w:val="Normal"/>
    <w:pPr>
      <w:spacing w:before="400" w:after="440"/>
    </w:pPr>
    <w:rPr>
      <w:rFonts w:ascii="Times New Roman" w:hAnsi="Times New Roman"/>
      <w:spacing w:val="-30"/>
      <w:sz w:val="60"/>
    </w:rPr>
  </w:style>
  <w:style w:type="paragraph" w:customStyle="1" w:styleId="SubtitleCover">
    <w:name w:val="Subtitle Cover"/>
    <w:basedOn w:val="TitleCover"/>
    <w:next w:val="BodyText"/>
    <w:pPr>
      <w:spacing w:before="1520"/>
      <w:ind w:right="1680"/>
    </w:pPr>
    <w:rPr>
      <w:rFonts w:ascii="Times New Roman" w:hAnsi="Times New Roman"/>
      <w:b w:val="0"/>
      <w:i/>
      <w:spacing w:val="-20"/>
      <w:sz w:val="40"/>
    </w:rPr>
  </w:style>
  <w:style w:type="paragraph" w:customStyle="1" w:styleId="h4text">
    <w:name w:val="h4text"/>
    <w:basedOn w:val="h2text0"/>
    <w:pPr>
      <w:ind w:left="2160"/>
    </w:pPr>
  </w:style>
  <w:style w:type="paragraph" w:customStyle="1" w:styleId="h2bullets">
    <w:name w:val="h2bullets"/>
    <w:basedOn w:val="h2text0"/>
    <w:pPr>
      <w:spacing w:after="0" w:line="240" w:lineRule="auto"/>
      <w:ind w:left="1440" w:hanging="360"/>
    </w:pPr>
  </w:style>
  <w:style w:type="paragraph" w:customStyle="1" w:styleId="Address">
    <w:name w:val="Address"/>
    <w:basedOn w:val="Normal"/>
    <w:pPr>
      <w:tabs>
        <w:tab w:val="left" w:pos="1440"/>
        <w:tab w:val="left" w:pos="2160"/>
      </w:tabs>
      <w:spacing w:after="120"/>
      <w:ind w:left="1080"/>
    </w:pPr>
    <w:rPr>
      <w:rFonts w:ascii="Times New Roman" w:hAnsi="Times New Roman"/>
      <w:sz w:val="20"/>
      <w:szCs w:val="20"/>
    </w:rPr>
  </w:style>
  <w:style w:type="paragraph" w:customStyle="1" w:styleId="Picture">
    <w:name w:val="Picture"/>
    <w:basedOn w:val="Normal"/>
    <w:next w:val="Caption"/>
    <w:pPr>
      <w:keepNext/>
      <w:ind w:left="1080"/>
    </w:pPr>
    <w:rPr>
      <w:rFonts w:ascii="Times New Roman" w:hAnsi="Times New Roman"/>
      <w:sz w:val="20"/>
      <w:szCs w:val="20"/>
    </w:rPr>
  </w:style>
  <w:style w:type="paragraph" w:customStyle="1" w:styleId="h3text0">
    <w:name w:val="h3text"/>
    <w:basedOn w:val="h2text0"/>
    <w:pPr>
      <w:tabs>
        <w:tab w:val="clear" w:pos="-720"/>
      </w:tabs>
      <w:spacing w:line="240" w:lineRule="auto"/>
      <w:ind w:left="1440"/>
    </w:pPr>
    <w:rPr>
      <w:rFonts w:ascii="Times New Roman" w:hAnsi="Times New Roman"/>
    </w:rPr>
  </w:style>
  <w:style w:type="paragraph" w:customStyle="1" w:styleId="sub5">
    <w:name w:val="sub5"/>
    <w:basedOn w:val="Heading5"/>
    <w:pPr>
      <w:keepNext/>
      <w:keepLines/>
      <w:tabs>
        <w:tab w:val="num" w:pos="5040"/>
      </w:tabs>
      <w:spacing w:before="220" w:after="220" w:line="220" w:lineRule="atLeast"/>
      <w:ind w:left="2610" w:firstLine="1440"/>
      <w:outlineLvl w:val="9"/>
    </w:pPr>
    <w:rPr>
      <w:rFonts w:ascii="Times New Roman" w:hAnsi="Times New Roman"/>
      <w:b w:val="0"/>
      <w:bCs w:val="0"/>
      <w:iCs w:val="0"/>
      <w:spacing w:val="-4"/>
      <w:kern w:val="28"/>
      <w:sz w:val="20"/>
      <w:szCs w:val="20"/>
    </w:rPr>
  </w:style>
  <w:style w:type="paragraph" w:customStyle="1" w:styleId="Style2">
    <w:name w:val="Style2"/>
    <w:basedOn w:val="Normal"/>
    <w:link w:val="Style2Char"/>
    <w:qFormat/>
    <w:pPr>
      <w:spacing w:after="240"/>
      <w:ind w:firstLine="720"/>
      <w:jc w:val="both"/>
    </w:pPr>
    <w:rPr>
      <w:lang w:val="x-none" w:eastAsia="x-none"/>
    </w:rPr>
  </w:style>
  <w:style w:type="paragraph" w:customStyle="1" w:styleId="Text">
    <w:name w:val="Text"/>
    <w:basedOn w:val="Normal"/>
    <w:pPr>
      <w:spacing w:after="300" w:line="300" w:lineRule="exact"/>
      <w:ind w:left="1080"/>
    </w:pPr>
    <w:rPr>
      <w:rFonts w:ascii="Times" w:hAnsi="Times"/>
      <w:sz w:val="20"/>
      <w:szCs w:val="20"/>
    </w:rPr>
  </w:style>
  <w:style w:type="paragraph" w:customStyle="1" w:styleId="OmniPage1">
    <w:name w:val="OmniPage #1"/>
    <w:pPr>
      <w:tabs>
        <w:tab w:val="right" w:pos="402"/>
      </w:tabs>
    </w:pPr>
    <w:rPr>
      <w:color w:val="000000"/>
    </w:rPr>
  </w:style>
  <w:style w:type="paragraph" w:customStyle="1" w:styleId="BodyTextHang">
    <w:name w:val="Body Text Hang"/>
    <w:basedOn w:val="BodyText"/>
    <w:pPr>
      <w:ind w:left="1440" w:hanging="1440"/>
      <w:jc w:val="both"/>
    </w:pPr>
    <w:rPr>
      <w:sz w:val="20"/>
      <w:szCs w:val="20"/>
    </w:rPr>
  </w:style>
  <w:style w:type="paragraph" w:customStyle="1" w:styleId="SubheadA">
    <w:name w:val="Subhead A"/>
    <w:basedOn w:val="Normal"/>
    <w:pPr>
      <w:spacing w:line="300" w:lineRule="exact"/>
      <w:ind w:left="1080"/>
    </w:pPr>
    <w:rPr>
      <w:rFonts w:ascii="Times" w:hAnsi="Times"/>
      <w:b/>
      <w:sz w:val="20"/>
      <w:szCs w:val="20"/>
    </w:rPr>
  </w:style>
  <w:style w:type="paragraph" w:customStyle="1" w:styleId="StandardL4">
    <w:name w:val="Standard_L4"/>
    <w:basedOn w:val="StandardL3"/>
    <w:next w:val="Normal"/>
    <w:rsid w:val="00D15BA9"/>
    <w:pPr>
      <w:numPr>
        <w:ilvl w:val="3"/>
      </w:numPr>
      <w:outlineLvl w:val="3"/>
    </w:pPr>
  </w:style>
  <w:style w:type="paragraph" w:customStyle="1" w:styleId="aafixspace">
    <w:name w:val="aafixspace"/>
    <w:basedOn w:val="Normal"/>
    <w:pPr>
      <w:keepLines/>
      <w:widowControl w:val="0"/>
      <w:ind w:left="1080"/>
    </w:pPr>
    <w:rPr>
      <w:rFonts w:ascii="Times New Roman" w:hAnsi="Times New Roman"/>
      <w:sz w:val="20"/>
      <w:szCs w:val="20"/>
    </w:rPr>
  </w:style>
  <w:style w:type="paragraph" w:customStyle="1" w:styleId="BlockQuotation">
    <w:name w:val="Block Quotation"/>
    <w:basedOn w:val="BodyText"/>
    <w:pPr>
      <w:keepLines/>
      <w:pBdr>
        <w:left w:val="single" w:sz="30" w:space="3" w:color="808080"/>
        <w:bottom w:val="single" w:sz="30" w:space="3" w:color="FFFFFF"/>
      </w:pBdr>
      <w:spacing w:after="60" w:line="220" w:lineRule="atLeast"/>
      <w:ind w:left="1440" w:right="720"/>
    </w:pPr>
    <w:rPr>
      <w:rFonts w:ascii="Times New Roman" w:hAnsi="Times New Roman"/>
      <w:i/>
      <w:sz w:val="20"/>
      <w:szCs w:val="20"/>
    </w:rPr>
  </w:style>
  <w:style w:type="paragraph" w:customStyle="1" w:styleId="DocumentLabel">
    <w:name w:val="Document Label"/>
    <w:basedOn w:val="HeadingBase"/>
    <w:next w:val="BodyText"/>
    <w:pPr>
      <w:spacing w:before="160"/>
    </w:pPr>
    <w:rPr>
      <w:rFonts w:ascii="Times New Roman" w:hAnsi="Times New Roman"/>
      <w:spacing w:val="-30"/>
      <w:sz w:val="60"/>
    </w:rPr>
  </w:style>
  <w:style w:type="paragraph" w:customStyle="1" w:styleId="Tax1L3">
    <w:name w:val="Tax1_L3"/>
    <w:basedOn w:val="Tax1L2"/>
    <w:next w:val="Normal"/>
    <w:rsid w:val="00D15BA9"/>
    <w:pPr>
      <w:numPr>
        <w:ilvl w:val="2"/>
      </w:numPr>
      <w:outlineLvl w:val="2"/>
    </w:pPr>
  </w:style>
  <w:style w:type="paragraph" w:styleId="Index5">
    <w:name w:val="index 5"/>
    <w:basedOn w:val="IndexBase"/>
    <w:pPr>
      <w:tabs>
        <w:tab w:val="right" w:pos="4080"/>
      </w:tabs>
      <w:ind w:left="720" w:hanging="360"/>
    </w:pPr>
  </w:style>
  <w:style w:type="paragraph" w:customStyle="1" w:styleId="IndexBase">
    <w:name w:val="Index Base"/>
    <w:basedOn w:val="Normal"/>
    <w:pPr>
      <w:spacing w:line="220" w:lineRule="atLeast"/>
      <w:ind w:left="360"/>
    </w:pPr>
    <w:rPr>
      <w:rFonts w:ascii="Times New Roman" w:hAnsi="Times New Roman"/>
      <w:sz w:val="20"/>
      <w:szCs w:val="20"/>
    </w:rPr>
  </w:style>
  <w:style w:type="paragraph" w:customStyle="1" w:styleId="Tax1L4">
    <w:name w:val="Tax1_L4"/>
    <w:basedOn w:val="Tax1L3"/>
    <w:next w:val="Normal"/>
    <w:rsid w:val="00D15BA9"/>
    <w:pPr>
      <w:numPr>
        <w:ilvl w:val="3"/>
      </w:numPr>
      <w:outlineLvl w:val="3"/>
    </w:pPr>
  </w:style>
  <w:style w:type="paragraph" w:styleId="Index2">
    <w:name w:val="index 2"/>
    <w:basedOn w:val="IndexBase"/>
    <w:pPr>
      <w:tabs>
        <w:tab w:val="right" w:pos="4080"/>
      </w:tabs>
      <w:ind w:left="720" w:hanging="360"/>
    </w:pPr>
  </w:style>
  <w:style w:type="paragraph" w:customStyle="1" w:styleId="Tax1L2">
    <w:name w:val="Tax1_L2"/>
    <w:basedOn w:val="Tax1L1"/>
    <w:next w:val="Normal"/>
    <w:rsid w:val="00D15BA9"/>
    <w:pPr>
      <w:numPr>
        <w:ilvl w:val="1"/>
      </w:numPr>
      <w:jc w:val="left"/>
      <w:outlineLvl w:val="1"/>
    </w:pPr>
    <w:rPr>
      <w:b w:val="0"/>
    </w:rPr>
  </w:style>
  <w:style w:type="paragraph" w:styleId="Index4">
    <w:name w:val="index 4"/>
    <w:basedOn w:val="IndexBase"/>
    <w:pPr>
      <w:tabs>
        <w:tab w:val="right" w:pos="4080"/>
      </w:tabs>
      <w:ind w:left="720" w:hanging="360"/>
    </w:pPr>
  </w:style>
  <w:style w:type="character" w:customStyle="1" w:styleId="Superscript">
    <w:name w:val="Superscript"/>
    <w:rPr>
      <w:b/>
      <w:vertAlign w:val="superscript"/>
    </w:rPr>
  </w:style>
  <w:style w:type="paragraph" w:customStyle="1" w:styleId="CommentText10">
    <w:name w:val="CommentText_1"/>
    <w:rsid w:val="00315701"/>
    <w:pPr>
      <w:spacing w:after="240"/>
    </w:pPr>
    <w:rPr>
      <w:rFonts w:ascii="Arial" w:hAnsi="Arial"/>
      <w:lang w:val="x-none" w:eastAsia="x-none"/>
    </w:rPr>
  </w:style>
  <w:style w:type="paragraph" w:customStyle="1" w:styleId="FooterFirst">
    <w:name w:val="Footer First"/>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FooterEven">
    <w:name w:val="Footer Even"/>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FooterOdd">
    <w:name w:val="Footer Odd"/>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HeaderEven">
    <w:name w:val="Header Even"/>
    <w:basedOn w:val="Header"/>
    <w:pPr>
      <w:keepLines/>
      <w:tabs>
        <w:tab w:val="clear" w:pos="4680"/>
        <w:tab w:val="clear" w:pos="9360"/>
        <w:tab w:val="center" w:pos="4320"/>
        <w:tab w:val="right" w:pos="8640"/>
      </w:tabs>
    </w:pPr>
    <w:rPr>
      <w:spacing w:val="-4"/>
      <w:sz w:val="20"/>
      <w:szCs w:val="20"/>
    </w:rPr>
  </w:style>
  <w:style w:type="paragraph" w:customStyle="1" w:styleId="HeaderOdd">
    <w:name w:val="Header Odd"/>
    <w:basedOn w:val="Header"/>
    <w:pPr>
      <w:keepLines/>
      <w:tabs>
        <w:tab w:val="clear" w:pos="4680"/>
        <w:tab w:val="clear" w:pos="9360"/>
        <w:tab w:val="center" w:pos="4320"/>
        <w:tab w:val="right" w:pos="8640"/>
      </w:tabs>
    </w:pPr>
    <w:rPr>
      <w:spacing w:val="-4"/>
      <w:sz w:val="20"/>
      <w:szCs w:val="20"/>
    </w:rPr>
  </w:style>
  <w:style w:type="paragraph" w:customStyle="1" w:styleId="ChapterLabel">
    <w:name w:val="Chapter Label"/>
    <w:basedOn w:val="HeadingBase"/>
    <w:next w:val="ChapterTitle"/>
    <w:pPr>
      <w:spacing w:before="770" w:after="440"/>
    </w:pPr>
    <w:rPr>
      <w:rFonts w:ascii="Times New Roman" w:hAnsi="Times New Roman"/>
      <w:spacing w:val="-30"/>
      <w:sz w:val="60"/>
    </w:rPr>
  </w:style>
  <w:style w:type="character" w:customStyle="1" w:styleId="DeltaViewDeletion">
    <w:name w:val="DeltaView Deletion"/>
    <w:rPr>
      <w:strike/>
      <w:color w:val="FF0000"/>
      <w:spacing w:val="0"/>
    </w:rPr>
  </w:style>
  <w:style w:type="paragraph" w:customStyle="1" w:styleId="ChapterTitle">
    <w:name w:val="Chapter Title"/>
    <w:basedOn w:val="HeadingBase"/>
    <w:next w:val="ChapterSubtitle"/>
    <w:pPr>
      <w:spacing w:before="720" w:after="400" w:line="540" w:lineRule="atLeast"/>
      <w:ind w:right="2160"/>
    </w:pPr>
    <w:rPr>
      <w:rFonts w:ascii="Times New Roman" w:hAnsi="Times New Roman"/>
      <w:spacing w:val="-40"/>
      <w:sz w:val="60"/>
    </w:rPr>
  </w:style>
  <w:style w:type="paragraph" w:customStyle="1" w:styleId="ChapterSubtitle">
    <w:name w:val="Chapter Subtitle"/>
    <w:basedOn w:val="ChapterTitle"/>
    <w:next w:val="BodyText"/>
    <w:pPr>
      <w:spacing w:before="0" w:line="400" w:lineRule="atLeast"/>
    </w:pPr>
    <w:rPr>
      <w:i/>
      <w:spacing w:val="-14"/>
      <w:sz w:val="34"/>
    </w:rPr>
  </w:style>
  <w:style w:type="paragraph" w:customStyle="1" w:styleId="TxBrp0">
    <w:name w:val="TxBr_p0"/>
    <w:basedOn w:val="Normal"/>
    <w:pPr>
      <w:widowControl w:val="0"/>
      <w:tabs>
        <w:tab w:val="left" w:pos="204"/>
      </w:tabs>
      <w:spacing w:line="240" w:lineRule="atLeast"/>
      <w:jc w:val="both"/>
    </w:pPr>
    <w:rPr>
      <w:rFonts w:ascii="Times New Roman" w:hAnsi="Times New Roman"/>
      <w:szCs w:val="20"/>
    </w:rPr>
  </w:style>
  <w:style w:type="paragraph" w:customStyle="1" w:styleId="ReturnAddress">
    <w:name w:val="Return Address"/>
    <w:basedOn w:val="Normal"/>
    <w:pPr>
      <w:keepLines/>
      <w:framePr w:w="2160" w:h="1200" w:wrap="notBeside" w:vAnchor="page" w:hAnchor="page" w:x="9241" w:y="673" w:anchorLock="1"/>
      <w:spacing w:line="220" w:lineRule="atLeast"/>
    </w:pPr>
    <w:rPr>
      <w:rFonts w:ascii="Times New Roman" w:hAnsi="Times New Roman"/>
      <w:sz w:val="16"/>
      <w:szCs w:val="20"/>
    </w:rPr>
  </w:style>
  <w:style w:type="paragraph" w:customStyle="1" w:styleId="CompanyName">
    <w:name w:val="Company Name"/>
    <w:basedOn w:val="DocumentLabel"/>
    <w:pPr>
      <w:spacing w:before="0"/>
    </w:pPr>
  </w:style>
  <w:style w:type="paragraph" w:customStyle="1" w:styleId="PartSubtitle">
    <w:name w:val="Part Subtitle"/>
    <w:basedOn w:val="Normal"/>
    <w:next w:val="BodyText"/>
    <w:pPr>
      <w:keepNext/>
      <w:keepLines/>
      <w:spacing w:after="160" w:line="400" w:lineRule="atLeast"/>
      <w:ind w:left="1080" w:right="2160"/>
    </w:pPr>
    <w:rPr>
      <w:rFonts w:ascii="Times New Roman" w:hAnsi="Times New Roman"/>
      <w:i/>
      <w:spacing w:val="-14"/>
      <w:kern w:val="28"/>
      <w:sz w:val="34"/>
      <w:szCs w:val="20"/>
    </w:rPr>
  </w:style>
  <w:style w:type="paragraph" w:customStyle="1" w:styleId="PartTitle">
    <w:name w:val="Part Title"/>
    <w:basedOn w:val="HeadingBase"/>
    <w:next w:val="PartSubtitle"/>
    <w:pPr>
      <w:spacing w:before="660" w:after="400" w:line="540" w:lineRule="atLeast"/>
      <w:ind w:right="2160"/>
    </w:pPr>
    <w:rPr>
      <w:rFonts w:ascii="Times New Roman" w:hAnsi="Times New Roman"/>
      <w:spacing w:val="-40"/>
      <w:sz w:val="60"/>
    </w:rPr>
  </w:style>
  <w:style w:type="paragraph" w:styleId="TOAHeading">
    <w:name w:val="toa heading"/>
    <w:basedOn w:val="Normal"/>
    <w:next w:val="TableofAuthorities"/>
    <w:pPr>
      <w:keepNext/>
      <w:spacing w:before="240" w:after="120" w:line="360" w:lineRule="exact"/>
      <w:ind w:left="1080"/>
    </w:pPr>
    <w:rPr>
      <w:b/>
      <w:kern w:val="28"/>
      <w:sz w:val="28"/>
      <w:szCs w:val="20"/>
    </w:rPr>
  </w:style>
  <w:style w:type="paragraph" w:customStyle="1" w:styleId="TxBrp4">
    <w:name w:val="TxBr_p4"/>
    <w:basedOn w:val="Normal"/>
    <w:pPr>
      <w:widowControl w:val="0"/>
      <w:tabs>
        <w:tab w:val="left" w:pos="204"/>
      </w:tabs>
      <w:spacing w:line="240" w:lineRule="atLeast"/>
      <w:jc w:val="both"/>
    </w:pPr>
    <w:rPr>
      <w:rFonts w:ascii="Times New Roman" w:hAnsi="Times New Roman"/>
      <w:szCs w:val="20"/>
    </w:rPr>
  </w:style>
  <w:style w:type="paragraph" w:customStyle="1" w:styleId="ArticleL61">
    <w:name w:val="ArticleL6_1"/>
    <w:pPr>
      <w:keepNext/>
      <w:tabs>
        <w:tab w:val="num" w:pos="1440"/>
        <w:tab w:val="num" w:pos="2020"/>
        <w:tab w:val="num" w:pos="2880"/>
        <w:tab w:val="num" w:pos="3600"/>
        <w:tab w:val="num" w:pos="4320"/>
      </w:tabs>
      <w:spacing w:after="240"/>
      <w:ind w:left="1440" w:firstLine="3600"/>
      <w:outlineLvl w:val="5"/>
    </w:pPr>
    <w:rPr>
      <w:rFonts w:ascii="Arial" w:hAnsi="Arial" w:cs="Arial"/>
      <w:sz w:val="24"/>
    </w:rPr>
  </w:style>
  <w:style w:type="character" w:customStyle="1" w:styleId="CommentTextChar">
    <w:name w:val="Comment Text Char"/>
    <w:basedOn w:val="DefaultParagraphFont"/>
    <w:link w:val="CommentText1"/>
    <w:rsid w:val="004D391B"/>
    <w:rPr>
      <w:rFonts w:ascii="Arial" w:hAnsi="Arial"/>
      <w:lang w:val="x-none" w:eastAsia="x-none"/>
    </w:rPr>
  </w:style>
  <w:style w:type="paragraph" w:customStyle="1" w:styleId="BodyText21">
    <w:name w:val="Body Text 21"/>
    <w:basedOn w:val="Normal"/>
    <w:pPr>
      <w:widowControl w:val="0"/>
      <w:spacing w:line="480" w:lineRule="auto"/>
      <w:jc w:val="both"/>
    </w:pPr>
    <w:rPr>
      <w:rFonts w:ascii="Courier New" w:hAnsi="Courier New"/>
      <w:sz w:val="22"/>
      <w:szCs w:val="20"/>
    </w:rPr>
  </w:style>
  <w:style w:type="paragraph" w:customStyle="1" w:styleId="28">
    <w:name w:val="2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Arial" w:hAnsi="Arial"/>
      <w:sz w:val="24"/>
    </w:rPr>
  </w:style>
  <w:style w:type="character" w:customStyle="1" w:styleId="ArticleL2UnderlineChar">
    <w:name w:val="Article_L2 + Underline Char"/>
    <w:basedOn w:val="ArticleL2Char"/>
    <w:link w:val="ArticleL2Underline"/>
    <w:rsid w:val="00154771"/>
    <w:rPr>
      <w:rFonts w:ascii="Arial" w:hAnsi="Arial" w:cs="Arial"/>
      <w:sz w:val="24"/>
      <w:szCs w:val="24"/>
      <w:u w:val="single"/>
    </w:rPr>
  </w:style>
  <w:style w:type="paragraph" w:customStyle="1" w:styleId="Legal2Cont3">
    <w:name w:val="Legal2 Cont 3"/>
    <w:basedOn w:val="Legal2Cont2"/>
  </w:style>
  <w:style w:type="paragraph" w:customStyle="1" w:styleId="Legal2Cont4">
    <w:name w:val="Legal2 Cont 4"/>
    <w:basedOn w:val="Legal2Cont3"/>
  </w:style>
  <w:style w:type="paragraph" w:customStyle="1" w:styleId="Legal2Cont5">
    <w:name w:val="Legal2 Cont 5"/>
    <w:basedOn w:val="Legal2Cont4"/>
  </w:style>
  <w:style w:type="paragraph" w:customStyle="1" w:styleId="Legal2Cont6">
    <w:name w:val="Legal2 Cont 6"/>
    <w:basedOn w:val="Legal2Cont5"/>
  </w:style>
  <w:style w:type="paragraph" w:customStyle="1" w:styleId="Legal2Cont7">
    <w:name w:val="Legal2 Cont 7"/>
    <w:basedOn w:val="Legal2Cont6"/>
  </w:style>
  <w:style w:type="paragraph" w:customStyle="1" w:styleId="Legal2L2">
    <w:name w:val="Legal2_L2"/>
    <w:basedOn w:val="Legal2L1"/>
    <w:next w:val="BodyText"/>
    <w:pPr>
      <w:tabs>
        <w:tab w:val="clear" w:pos="720"/>
        <w:tab w:val="num" w:pos="1440"/>
      </w:tabs>
      <w:ind w:firstLine="720"/>
      <w:outlineLvl w:val="1"/>
    </w:pPr>
  </w:style>
  <w:style w:type="paragraph" w:customStyle="1" w:styleId="Legal2L3">
    <w:name w:val="Legal2_L3"/>
    <w:basedOn w:val="Legal2L2"/>
    <w:next w:val="BodyText"/>
    <w:pPr>
      <w:tabs>
        <w:tab w:val="clear" w:pos="1440"/>
        <w:tab w:val="num" w:pos="2160"/>
      </w:tabs>
      <w:ind w:firstLine="1440"/>
      <w:outlineLvl w:val="2"/>
    </w:pPr>
  </w:style>
  <w:style w:type="paragraph" w:customStyle="1" w:styleId="Legal2L4">
    <w:name w:val="Legal2_L4"/>
    <w:basedOn w:val="Legal2L3"/>
    <w:next w:val="BodyText"/>
    <w:pPr>
      <w:tabs>
        <w:tab w:val="clear" w:pos="2160"/>
        <w:tab w:val="num" w:pos="2880"/>
      </w:tabs>
      <w:ind w:firstLine="2160"/>
      <w:outlineLvl w:val="3"/>
    </w:pPr>
  </w:style>
  <w:style w:type="paragraph" w:customStyle="1" w:styleId="Legal2L5">
    <w:name w:val="Legal2_L5"/>
    <w:basedOn w:val="Legal2L4"/>
    <w:next w:val="BodyText"/>
    <w:pPr>
      <w:tabs>
        <w:tab w:val="clear" w:pos="2880"/>
        <w:tab w:val="num" w:pos="3600"/>
      </w:tabs>
      <w:ind w:firstLine="2880"/>
      <w:outlineLvl w:val="4"/>
    </w:pPr>
  </w:style>
  <w:style w:type="paragraph" w:customStyle="1" w:styleId="Legal2L7">
    <w:name w:val="Legal2_L7"/>
    <w:basedOn w:val="Legal2L6"/>
    <w:next w:val="BodyText"/>
    <w:pPr>
      <w:tabs>
        <w:tab w:val="clear" w:pos="4320"/>
        <w:tab w:val="num" w:pos="5040"/>
      </w:tabs>
      <w:ind w:firstLine="4320"/>
      <w:outlineLvl w:val="6"/>
    </w:pPr>
  </w:style>
  <w:style w:type="paragraph" w:customStyle="1" w:styleId="Para">
    <w:name w:val="Para"/>
    <w:basedOn w:val="Normal"/>
    <w:pPr>
      <w:spacing w:after="240"/>
      <w:ind w:firstLine="720"/>
      <w:jc w:val="both"/>
    </w:pPr>
    <w:rPr>
      <w:rFonts w:ascii="Times New Roman" w:hAnsi="Times New Roman"/>
      <w:szCs w:val="20"/>
    </w:rPr>
  </w:style>
  <w:style w:type="paragraph" w:customStyle="1" w:styleId="indentlevel3">
    <w:name w:val="indentlevel3"/>
    <w:basedOn w:val="Normal"/>
    <w:pPr>
      <w:spacing w:before="100" w:beforeAutospacing="1" w:after="100" w:afterAutospacing="1"/>
    </w:pPr>
    <w:rPr>
      <w:rFonts w:ascii="Arial Unicode MS" w:eastAsia="Arial Unicode MS" w:hAnsi="Arial Unicode MS" w:cs="Arial Unicode MS"/>
    </w:rPr>
  </w:style>
  <w:style w:type="paragraph" w:customStyle="1" w:styleId="ArticleExhL5">
    <w:name w:val="ArticleExh_L5"/>
    <w:basedOn w:val="ArticleExhL4"/>
    <w:next w:val="BodyText"/>
    <w:rsid w:val="00D15BA9"/>
    <w:pPr>
      <w:numPr>
        <w:ilvl w:val="4"/>
      </w:numPr>
      <w:outlineLvl w:val="4"/>
    </w:pPr>
  </w:style>
  <w:style w:type="paragraph" w:customStyle="1" w:styleId="ArticleExhL8">
    <w:name w:val="ArticleExh_L8"/>
    <w:basedOn w:val="ArticleExhL7"/>
    <w:next w:val="BodyText"/>
    <w:rsid w:val="00D15BA9"/>
    <w:pPr>
      <w:numPr>
        <w:ilvl w:val="7"/>
      </w:numPr>
      <w:outlineLvl w:val="7"/>
    </w:pPr>
  </w:style>
  <w:style w:type="paragraph" w:customStyle="1" w:styleId="Title1">
    <w:name w:val="Title1"/>
    <w:basedOn w:val="Title"/>
    <w:pPr>
      <w:outlineLvl w:val="9"/>
    </w:pPr>
    <w:rPr>
      <w:rFonts w:ascii="Times New Roman" w:hAnsi="Times New Roman"/>
      <w:b w:val="0"/>
    </w:rPr>
  </w:style>
  <w:style w:type="paragraph" w:customStyle="1" w:styleId="Title11">
    <w:name w:val="Title11"/>
    <w:basedOn w:val="Title"/>
    <w:pPr>
      <w:outlineLvl w:val="9"/>
    </w:pPr>
    <w:rPr>
      <w:rFonts w:ascii="Times New Roman" w:hAnsi="Times New Roman"/>
      <w:b w:val="0"/>
    </w:rPr>
  </w:style>
  <w:style w:type="paragraph" w:customStyle="1" w:styleId="MT4">
    <w:name w:val="MT4"/>
    <w:basedOn w:val="Normal"/>
    <w:pPr>
      <w:numPr>
        <w:ilvl w:val="3"/>
        <w:numId w:val="15"/>
      </w:numPr>
      <w:autoSpaceDE w:val="0"/>
      <w:autoSpaceDN w:val="0"/>
      <w:adjustRightInd w:val="0"/>
      <w:spacing w:after="240"/>
      <w:jc w:val="both"/>
      <w:outlineLvl w:val="3"/>
    </w:pPr>
    <w:rPr>
      <w:rFonts w:ascii="Times New Roman" w:hAnsi="Times New Roman"/>
      <w:szCs w:val="20"/>
      <w:lang w:val="en-CA"/>
    </w:rPr>
  </w:style>
  <w:style w:type="paragraph" w:customStyle="1" w:styleId="O-BodyText">
    <w:name w:val="O-Body Text ()"/>
    <w:aliases w:val="1Body,s1"/>
    <w:basedOn w:val="Normal"/>
    <w:link w:val="O-BodyTextChar"/>
    <w:qFormat/>
    <w:pPr>
      <w:spacing w:after="240" w:line="288" w:lineRule="auto"/>
    </w:pPr>
    <w:rPr>
      <w:sz w:val="20"/>
      <w:szCs w:val="20"/>
    </w:rPr>
  </w:style>
  <w:style w:type="paragraph" w:customStyle="1" w:styleId="MT6">
    <w:name w:val="MT6"/>
    <w:basedOn w:val="Normal"/>
    <w:pPr>
      <w:numPr>
        <w:ilvl w:val="5"/>
        <w:numId w:val="15"/>
      </w:numPr>
      <w:autoSpaceDE w:val="0"/>
      <w:autoSpaceDN w:val="0"/>
      <w:adjustRightInd w:val="0"/>
      <w:spacing w:after="240"/>
      <w:jc w:val="both"/>
      <w:outlineLvl w:val="5"/>
    </w:pPr>
    <w:rPr>
      <w:rFonts w:ascii="Times New Roman" w:hAnsi="Times New Roman"/>
      <w:szCs w:val="20"/>
      <w:lang w:val="en-CA"/>
    </w:rPr>
  </w:style>
  <w:style w:type="paragraph" w:customStyle="1" w:styleId="MT7">
    <w:name w:val="MT7"/>
    <w:basedOn w:val="Normal"/>
    <w:pPr>
      <w:numPr>
        <w:ilvl w:val="6"/>
        <w:numId w:val="15"/>
      </w:numPr>
      <w:autoSpaceDE w:val="0"/>
      <w:autoSpaceDN w:val="0"/>
      <w:adjustRightInd w:val="0"/>
      <w:spacing w:after="240"/>
      <w:jc w:val="both"/>
      <w:outlineLvl w:val="6"/>
    </w:pPr>
    <w:rPr>
      <w:rFonts w:ascii="Times New Roman" w:hAnsi="Times New Roman"/>
      <w:szCs w:val="20"/>
      <w:lang w:val="en-CA"/>
    </w:rPr>
  </w:style>
  <w:style w:type="paragraph" w:customStyle="1" w:styleId="Level2">
    <w:name w:val="Level 2"/>
    <w:basedOn w:val="Normal"/>
    <w:pPr>
      <w:widowControl w:val="0"/>
      <w:numPr>
        <w:ilvl w:val="1"/>
        <w:numId w:val="16"/>
      </w:numPr>
      <w:autoSpaceDE w:val="0"/>
      <w:autoSpaceDN w:val="0"/>
      <w:adjustRightInd w:val="0"/>
      <w:jc w:val="both"/>
      <w:outlineLvl w:val="1"/>
    </w:pPr>
    <w:rPr>
      <w:rFonts w:ascii="Times New Roman" w:hAnsi="Times New Roman"/>
      <w:sz w:val="20"/>
      <w:szCs w:val="20"/>
    </w:rPr>
  </w:style>
  <w:style w:type="paragraph" w:customStyle="1" w:styleId="Level3">
    <w:name w:val="Level 3"/>
    <w:basedOn w:val="Normal"/>
    <w:pPr>
      <w:widowControl w:val="0"/>
      <w:numPr>
        <w:ilvl w:val="2"/>
        <w:numId w:val="16"/>
      </w:numPr>
      <w:autoSpaceDE w:val="0"/>
      <w:autoSpaceDN w:val="0"/>
      <w:adjustRightInd w:val="0"/>
      <w:jc w:val="both"/>
      <w:outlineLvl w:val="2"/>
    </w:pPr>
    <w:rPr>
      <w:rFonts w:ascii="Times New Roman" w:hAnsi="Times New Roman"/>
      <w:sz w:val="20"/>
      <w:szCs w:val="20"/>
    </w:rPr>
  </w:style>
  <w:style w:type="paragraph" w:customStyle="1" w:styleId="Level1">
    <w:name w:val="Level 1"/>
    <w:basedOn w:val="Normal"/>
    <w:rsid w:val="00D15BA9"/>
    <w:pPr>
      <w:widowControl w:val="0"/>
      <w:numPr>
        <w:numId w:val="17"/>
      </w:numPr>
      <w:autoSpaceDE w:val="0"/>
      <w:autoSpaceDN w:val="0"/>
      <w:adjustRightInd w:val="0"/>
      <w:ind w:firstLine="720"/>
      <w:jc w:val="both"/>
      <w:outlineLvl w:val="0"/>
    </w:pPr>
    <w:rPr>
      <w:rFonts w:ascii="Courier" w:hAnsi="Courier"/>
      <w:sz w:val="20"/>
      <w:szCs w:val="20"/>
    </w:rPr>
  </w:style>
  <w:style w:type="paragraph" w:customStyle="1" w:styleId="TitleUnderline">
    <w:name w:val="Title Underline"/>
    <w:basedOn w:val="Title"/>
    <w:next w:val="BodyText"/>
    <w:rPr>
      <w:rFonts w:ascii="Times New Roman" w:hAnsi="Times New Roman"/>
      <w:bCs w:val="0"/>
      <w:caps/>
      <w:kern w:val="28"/>
      <w:sz w:val="23"/>
      <w:szCs w:val="20"/>
      <w:u w:val="single"/>
    </w:rPr>
  </w:style>
  <w:style w:type="paragraph" w:customStyle="1" w:styleId="Tax1L6">
    <w:name w:val="Tax1_L6"/>
    <w:basedOn w:val="Tax1L5"/>
    <w:next w:val="Normal"/>
    <w:rsid w:val="00D15BA9"/>
    <w:pPr>
      <w:numPr>
        <w:ilvl w:val="5"/>
      </w:numPr>
      <w:outlineLvl w:val="5"/>
    </w:pPr>
  </w:style>
  <w:style w:type="paragraph" w:customStyle="1" w:styleId="CenterCaption">
    <w:name w:val="Center Caption"/>
    <w:basedOn w:val="Normal"/>
    <w:next w:val="BodyText"/>
    <w:pPr>
      <w:keepNext/>
      <w:suppressAutoHyphens/>
      <w:overflowPunct w:val="0"/>
      <w:autoSpaceDE w:val="0"/>
      <w:autoSpaceDN w:val="0"/>
      <w:adjustRightInd w:val="0"/>
      <w:spacing w:before="120" w:after="240"/>
      <w:jc w:val="center"/>
      <w:textAlignment w:val="baseline"/>
    </w:pPr>
    <w:rPr>
      <w:rFonts w:ascii="CG Times" w:hAnsi="CG Times"/>
      <w:b/>
      <w:szCs w:val="20"/>
    </w:rPr>
  </w:style>
  <w:style w:type="paragraph" w:customStyle="1" w:styleId="CenteredCaption">
    <w:name w:val="Centered Caption"/>
    <w:basedOn w:val="Normal"/>
    <w:next w:val="BodyText"/>
    <w:pPr>
      <w:overflowPunct w:val="0"/>
      <w:autoSpaceDE w:val="0"/>
      <w:autoSpaceDN w:val="0"/>
      <w:adjustRightInd w:val="0"/>
      <w:spacing w:after="240"/>
      <w:jc w:val="center"/>
      <w:textAlignment w:val="baseline"/>
    </w:pPr>
    <w:rPr>
      <w:rFonts w:ascii="Times New Roman Bold" w:hAnsi="Times New Roman Bold"/>
      <w:b/>
      <w:smallCaps/>
      <w:spacing w:val="10"/>
      <w:sz w:val="28"/>
      <w:szCs w:val="20"/>
      <w:u w:val="single"/>
    </w:rPr>
  </w:style>
  <w:style w:type="paragraph" w:customStyle="1" w:styleId="BodyNotary">
    <w:name w:val="BodyNotary"/>
    <w:basedOn w:val="BodyText"/>
    <w:pPr>
      <w:overflowPunct w:val="0"/>
      <w:autoSpaceDE w:val="0"/>
      <w:autoSpaceDN w:val="0"/>
      <w:adjustRightInd w:val="0"/>
      <w:spacing w:after="0" w:line="480" w:lineRule="auto"/>
      <w:ind w:firstLine="720"/>
      <w:textAlignment w:val="baseline"/>
    </w:pPr>
    <w:rPr>
      <w:rFonts w:ascii="Times New Roman" w:hAnsi="Times New Roman"/>
      <w:szCs w:val="20"/>
    </w:rPr>
  </w:style>
  <w:style w:type="paragraph" w:customStyle="1" w:styleId="ListAlpha">
    <w:name w:val="List Alpha"/>
    <w:basedOn w:val="BodyText"/>
    <w:pPr>
      <w:overflowPunct w:val="0"/>
      <w:autoSpaceDE w:val="0"/>
      <w:autoSpaceDN w:val="0"/>
      <w:adjustRightInd w:val="0"/>
      <w:spacing w:after="0" w:line="480" w:lineRule="auto"/>
      <w:ind w:firstLine="720"/>
      <w:textAlignment w:val="baseline"/>
    </w:pPr>
    <w:rPr>
      <w:rFonts w:ascii="Times New Roman" w:hAnsi="Times New Roman"/>
      <w:spacing w:val="10"/>
      <w:szCs w:val="20"/>
    </w:rPr>
  </w:style>
  <w:style w:type="paragraph" w:customStyle="1" w:styleId="article5l3">
    <w:name w:val="article5l3"/>
    <w:basedOn w:val="Normal"/>
    <w:pPr>
      <w:tabs>
        <w:tab w:val="num" w:pos="360"/>
      </w:tabs>
      <w:autoSpaceDE w:val="0"/>
      <w:autoSpaceDN w:val="0"/>
      <w:spacing w:before="220"/>
      <w:ind w:left="360" w:hanging="360"/>
      <w:jc w:val="both"/>
    </w:pPr>
    <w:rPr>
      <w:rFonts w:cs="Arial"/>
      <w:color w:val="000000"/>
    </w:rPr>
  </w:style>
  <w:style w:type="paragraph" w:customStyle="1" w:styleId="Article5Cont5">
    <w:name w:val="Article5 Cont 5"/>
    <w:basedOn w:val="Normal"/>
    <w:pPr>
      <w:spacing w:after="240"/>
      <w:jc w:val="both"/>
    </w:pPr>
    <w:rPr>
      <w:rFonts w:ascii="Times New Roman" w:hAnsi="Times New Roman"/>
      <w:sz w:val="20"/>
      <w:szCs w:val="20"/>
    </w:rPr>
  </w:style>
  <w:style w:type="paragraph" w:customStyle="1" w:styleId="Otten5L1">
    <w:name w:val="Otten5_L1"/>
    <w:basedOn w:val="Normal"/>
    <w:next w:val="Normal"/>
    <w:rsid w:val="00D15BA9"/>
    <w:pPr>
      <w:numPr>
        <w:numId w:val="23"/>
      </w:numPr>
      <w:spacing w:after="240"/>
      <w:jc w:val="both"/>
      <w:outlineLvl w:val="0"/>
    </w:pPr>
    <w:rPr>
      <w:rFonts w:ascii="Times New Roman" w:hAnsi="Times New Roman"/>
    </w:rPr>
  </w:style>
  <w:style w:type="paragraph" w:customStyle="1" w:styleId="Otten5L6">
    <w:name w:val="Otten5_L6"/>
    <w:basedOn w:val="Otten5L5"/>
    <w:next w:val="Normal"/>
    <w:rsid w:val="00D15BA9"/>
    <w:pPr>
      <w:numPr>
        <w:ilvl w:val="5"/>
      </w:numPr>
      <w:outlineLvl w:val="5"/>
    </w:pPr>
  </w:style>
  <w:style w:type="paragraph" w:customStyle="1" w:styleId="Otten5L8">
    <w:name w:val="Otten5_L8"/>
    <w:basedOn w:val="Otten5L7"/>
    <w:next w:val="Normal"/>
    <w:rsid w:val="00D15BA9"/>
    <w:pPr>
      <w:numPr>
        <w:ilvl w:val="7"/>
      </w:numPr>
      <w:outlineLvl w:val="7"/>
    </w:pPr>
  </w:style>
  <w:style w:type="paragraph" w:customStyle="1" w:styleId="Otten5L9">
    <w:name w:val="Otten5_L9"/>
    <w:basedOn w:val="Otten5L8"/>
    <w:next w:val="Normal"/>
    <w:rsid w:val="00D15BA9"/>
    <w:pPr>
      <w:numPr>
        <w:ilvl w:val="8"/>
      </w:numPr>
      <w:outlineLvl w:val="8"/>
    </w:pPr>
  </w:style>
  <w:style w:type="paragraph" w:customStyle="1" w:styleId="BodyDoubleSp5">
    <w:name w:val="*Body Double Sp .5"/>
    <w:aliases w:val="BD5"/>
    <w:basedOn w:val="Normal"/>
    <w:pPr>
      <w:spacing w:line="480" w:lineRule="auto"/>
      <w:ind w:left="1080" w:firstLine="720"/>
    </w:pPr>
    <w:rPr>
      <w:rFonts w:ascii="Times New Roman" w:hAnsi="Times New Roman"/>
      <w:sz w:val="20"/>
      <w:szCs w:val="20"/>
    </w:rPr>
  </w:style>
  <w:style w:type="paragraph" w:customStyle="1" w:styleId="BulletListIndent5NoPt">
    <w:name w:val="*Bullet List Indent .5 NoPt"/>
    <w:aliases w:val="NB5N"/>
    <w:basedOn w:val="Normal"/>
    <w:rsid w:val="00D15BA9"/>
    <w:pPr>
      <w:numPr>
        <w:numId w:val="19"/>
      </w:numPr>
    </w:pPr>
    <w:rPr>
      <w:rFonts w:ascii="Times New Roman" w:hAnsi="Times New Roman"/>
      <w:sz w:val="20"/>
      <w:szCs w:val="20"/>
    </w:rPr>
  </w:style>
  <w:style w:type="paragraph" w:customStyle="1" w:styleId="BulletListIndent5">
    <w:name w:val="*Bullet List Indent .5"/>
    <w:aliases w:val="NB5"/>
    <w:basedOn w:val="Normal"/>
    <w:pPr>
      <w:tabs>
        <w:tab w:val="num" w:pos="720"/>
      </w:tabs>
      <w:spacing w:after="240"/>
      <w:ind w:left="1440"/>
    </w:pPr>
    <w:rPr>
      <w:rFonts w:ascii="Times New Roman" w:hAnsi="Times New Roman"/>
      <w:sz w:val="20"/>
      <w:szCs w:val="20"/>
    </w:rPr>
  </w:style>
  <w:style w:type="paragraph" w:customStyle="1" w:styleId="CapSignature">
    <w:name w:val="*Cap Signature"/>
    <w:aliases w:val="CapSig"/>
    <w:basedOn w:val="Normal"/>
    <w:rsid w:val="00D15BA9"/>
    <w:pPr>
      <w:keepNext/>
      <w:numPr>
        <w:numId w:val="24"/>
      </w:numPr>
      <w:tabs>
        <w:tab w:val="clear" w:pos="1440"/>
        <w:tab w:val="right" w:pos="9360"/>
      </w:tabs>
      <w:ind w:left="4320" w:firstLine="0"/>
    </w:pPr>
    <w:rPr>
      <w:rFonts w:ascii="Times New Roman" w:hAnsi="Times New Roman"/>
      <w:sz w:val="20"/>
      <w:szCs w:val="20"/>
    </w:rPr>
  </w:style>
  <w:style w:type="paragraph" w:customStyle="1" w:styleId="NummberedA05">
    <w:name w:val="*Nummbered A 0/.5"/>
    <w:aliases w:val="NA05"/>
    <w:basedOn w:val="Normal"/>
    <w:rsid w:val="00D15BA9"/>
    <w:pPr>
      <w:numPr>
        <w:numId w:val="22"/>
      </w:numPr>
      <w:spacing w:after="240"/>
    </w:pPr>
    <w:rPr>
      <w:rFonts w:ascii="Times New Roman" w:hAnsi="Times New Roman"/>
      <w:sz w:val="20"/>
      <w:szCs w:val="20"/>
    </w:rPr>
  </w:style>
  <w:style w:type="paragraph" w:customStyle="1" w:styleId="ShortLines">
    <w:name w:val="*Short Lines"/>
    <w:aliases w:val="SL"/>
    <w:basedOn w:val="Normal"/>
    <w:rsid w:val="00D15BA9"/>
    <w:pPr>
      <w:numPr>
        <w:numId w:val="27"/>
      </w:numPr>
      <w:tabs>
        <w:tab w:val="clear" w:pos="1440"/>
      </w:tabs>
      <w:ind w:left="1080" w:firstLine="0"/>
    </w:pPr>
    <w:rPr>
      <w:rFonts w:ascii="Times New Roman" w:hAnsi="Times New Roman"/>
      <w:sz w:val="20"/>
      <w:szCs w:val="20"/>
    </w:rPr>
  </w:style>
  <w:style w:type="paragraph" w:customStyle="1" w:styleId="ArticleL2Underline">
    <w:name w:val="Article_L2 + Underline"/>
    <w:basedOn w:val="Normal"/>
    <w:next w:val="ArticleL2"/>
    <w:link w:val="ArticleL2UnderlineChar"/>
    <w:rsid w:val="003F191C"/>
    <w:rPr>
      <w:u w:val="single"/>
    </w:rPr>
  </w:style>
  <w:style w:type="paragraph" w:customStyle="1" w:styleId="Signature0">
    <w:name w:val="*Signature"/>
    <w:aliases w:val="SIG"/>
    <w:basedOn w:val="Normal"/>
    <w:pPr>
      <w:keepLines/>
      <w:tabs>
        <w:tab w:val="right" w:pos="9360"/>
      </w:tabs>
      <w:ind w:left="5040"/>
    </w:pPr>
    <w:rPr>
      <w:rFonts w:ascii="Book Antiqua" w:hAnsi="Book Antiqua"/>
      <w:sz w:val="20"/>
      <w:szCs w:val="20"/>
    </w:rPr>
  </w:style>
  <w:style w:type="paragraph" w:customStyle="1" w:styleId="TitleCenterBoldAllCaps">
    <w:name w:val="*Title Center Bold All Caps"/>
    <w:aliases w:val="TCBA"/>
    <w:basedOn w:val="Normal"/>
    <w:pPr>
      <w:keepNext/>
      <w:spacing w:after="240"/>
      <w:ind w:left="1080"/>
      <w:jc w:val="center"/>
    </w:pPr>
    <w:rPr>
      <w:rFonts w:ascii="Times New Roman" w:hAnsi="Times New Roman"/>
      <w:b/>
      <w:caps/>
      <w:sz w:val="20"/>
      <w:szCs w:val="20"/>
    </w:rPr>
  </w:style>
  <w:style w:type="paragraph" w:customStyle="1" w:styleId="Hbody0">
    <w:name w:val="Hbody"/>
    <w:basedOn w:val="Normal"/>
    <w:pPr>
      <w:spacing w:after="240"/>
      <w:ind w:left="1080"/>
    </w:pPr>
    <w:rPr>
      <w:rFonts w:ascii="Times New Roman" w:hAnsi="Times New Roman"/>
      <w:sz w:val="20"/>
      <w:szCs w:val="20"/>
    </w:rPr>
  </w:style>
  <w:style w:type="paragraph" w:customStyle="1" w:styleId="Quote1">
    <w:name w:val="Quote1"/>
    <w:basedOn w:val="Normal"/>
    <w:pPr>
      <w:overflowPunct w:val="0"/>
      <w:autoSpaceDE w:val="0"/>
      <w:autoSpaceDN w:val="0"/>
      <w:adjustRightInd w:val="0"/>
      <w:spacing w:after="240"/>
      <w:ind w:left="1440" w:right="1440"/>
      <w:jc w:val="both"/>
      <w:textAlignment w:val="baseline"/>
    </w:pPr>
  </w:style>
  <w:style w:type="paragraph" w:styleId="ListParagraph">
    <w:name w:val="List Paragraph"/>
    <w:basedOn w:val="Normal"/>
    <w:uiPriority w:val="1"/>
    <w:qFormat/>
    <w:pPr>
      <w:ind w:left="720"/>
    </w:pPr>
  </w:style>
  <w:style w:type="paragraph" w:customStyle="1" w:styleId="StandardL1">
    <w:name w:val="Standard_L1"/>
    <w:basedOn w:val="Normal"/>
    <w:next w:val="Normal"/>
    <w:rsid w:val="00D15BA9"/>
    <w:pPr>
      <w:keepNext/>
      <w:numPr>
        <w:numId w:val="28"/>
      </w:numPr>
      <w:spacing w:after="240"/>
      <w:jc w:val="center"/>
      <w:outlineLvl w:val="0"/>
    </w:pPr>
    <w:rPr>
      <w:rFonts w:cs="Arial"/>
      <w:szCs w:val="20"/>
    </w:rPr>
  </w:style>
  <w:style w:type="paragraph" w:customStyle="1" w:styleId="StandardL2">
    <w:name w:val="Standard_L2"/>
    <w:basedOn w:val="StandardL1"/>
    <w:next w:val="Normal"/>
    <w:rsid w:val="00D15BA9"/>
    <w:pPr>
      <w:keepNext w:val="0"/>
      <w:numPr>
        <w:ilvl w:val="1"/>
      </w:numPr>
      <w:jc w:val="both"/>
      <w:outlineLvl w:val="1"/>
    </w:pPr>
  </w:style>
  <w:style w:type="paragraph" w:customStyle="1" w:styleId="StandardL3">
    <w:name w:val="Standard_L3"/>
    <w:basedOn w:val="StandardL2"/>
    <w:next w:val="Normal"/>
    <w:link w:val="StandardL3Char"/>
    <w:rsid w:val="00D15BA9"/>
    <w:pPr>
      <w:numPr>
        <w:ilvl w:val="2"/>
      </w:numPr>
      <w:outlineLvl w:val="2"/>
    </w:pPr>
    <w:rPr>
      <w:rFonts w:cs="Times New Roman"/>
      <w:lang w:val="x-none" w:eastAsia="x-none"/>
    </w:rPr>
  </w:style>
  <w:style w:type="paragraph" w:customStyle="1" w:styleId="StandardL5">
    <w:name w:val="Standard_L5"/>
    <w:basedOn w:val="StandardL4"/>
    <w:next w:val="Normal"/>
    <w:rsid w:val="00D15BA9"/>
    <w:pPr>
      <w:numPr>
        <w:ilvl w:val="4"/>
      </w:numPr>
      <w:outlineLvl w:val="4"/>
    </w:pPr>
  </w:style>
  <w:style w:type="paragraph" w:customStyle="1" w:styleId="StandardL6">
    <w:name w:val="Standard_L6"/>
    <w:basedOn w:val="StandardL5"/>
    <w:next w:val="Normal"/>
    <w:rsid w:val="00D15BA9"/>
    <w:pPr>
      <w:numPr>
        <w:ilvl w:val="5"/>
      </w:numPr>
      <w:jc w:val="left"/>
      <w:outlineLvl w:val="5"/>
    </w:pPr>
  </w:style>
  <w:style w:type="paragraph" w:customStyle="1" w:styleId="StandardL8">
    <w:name w:val="Standard_L8"/>
    <w:basedOn w:val="StandardL7"/>
    <w:next w:val="Normal"/>
    <w:rsid w:val="00D15BA9"/>
    <w:pPr>
      <w:numPr>
        <w:ilvl w:val="7"/>
      </w:numPr>
      <w:outlineLvl w:val="7"/>
    </w:pPr>
  </w:style>
  <w:style w:type="paragraph" w:customStyle="1" w:styleId="StandardL9">
    <w:name w:val="Standard_L9"/>
    <w:basedOn w:val="StandardL8"/>
    <w:next w:val="Normal"/>
    <w:rsid w:val="00D15BA9"/>
    <w:pPr>
      <w:numPr>
        <w:ilvl w:val="8"/>
      </w:numPr>
      <w:outlineLvl w:val="8"/>
    </w:pPr>
  </w:style>
  <w:style w:type="character" w:customStyle="1" w:styleId="StandardL3Char">
    <w:name w:val="Standard_L3 Char"/>
    <w:link w:val="StandardL3"/>
    <w:rPr>
      <w:rFonts w:ascii="Arial" w:hAnsi="Arial"/>
      <w:sz w:val="24"/>
      <w:lang w:val="x-none" w:eastAsia="x-none"/>
    </w:rPr>
  </w:style>
  <w:style w:type="character" w:customStyle="1" w:styleId="BodyTextFirstIndentChar">
    <w:name w:val="Body Text First Indent Char"/>
    <w:link w:val="BodyTextFirstIndent"/>
    <w:rPr>
      <w:rFonts w:ascii="Arial" w:hAnsi="Arial"/>
      <w:sz w:val="24"/>
      <w:szCs w:val="24"/>
    </w:rPr>
  </w:style>
  <w:style w:type="character" w:customStyle="1" w:styleId="FooterChar">
    <w:name w:val="Footer Char"/>
    <w:link w:val="Footer"/>
    <w:rPr>
      <w:rFonts w:ascii="Arial" w:hAnsi="Arial"/>
      <w:sz w:val="24"/>
      <w:szCs w:val="24"/>
    </w:rPr>
  </w:style>
  <w:style w:type="character" w:customStyle="1" w:styleId="HeaderChar">
    <w:name w:val="Header Char"/>
    <w:link w:val="Header"/>
    <w:uiPriority w:val="99"/>
    <w:rPr>
      <w:rFonts w:ascii="Arial" w:hAnsi="Arial"/>
      <w:sz w:val="24"/>
      <w:szCs w:val="24"/>
    </w:rPr>
  </w:style>
  <w:style w:type="paragraph" w:customStyle="1" w:styleId="DatedSignature">
    <w:name w:val="Dated Signature"/>
    <w:basedOn w:val="Normal"/>
    <w:pPr>
      <w:keepNext/>
      <w:tabs>
        <w:tab w:val="left" w:pos="4680"/>
        <w:tab w:val="right" w:leader="underscore" w:pos="9360"/>
      </w:tabs>
      <w:spacing w:after="240"/>
      <w:ind w:left="4680" w:hanging="4680"/>
    </w:pPr>
    <w:rPr>
      <w:rFonts w:ascii="Times New Roman" w:hAnsi="Times New Roman"/>
      <w:b/>
      <w:szCs w:val="20"/>
    </w:rPr>
  </w:style>
  <w:style w:type="paragraph" w:customStyle="1" w:styleId="BodyText11">
    <w:name w:val="Body Text 11"/>
    <w:basedOn w:val="BodyText"/>
    <w:pPr>
      <w:jc w:val="both"/>
    </w:pPr>
    <w:rPr>
      <w:sz w:val="22"/>
      <w:szCs w:val="20"/>
    </w:rPr>
  </w:style>
  <w:style w:type="paragraph" w:customStyle="1" w:styleId="DoubleIndent11">
    <w:name w:val="Double Indent 11"/>
    <w:basedOn w:val="Normal"/>
    <w:pPr>
      <w:spacing w:after="240"/>
      <w:ind w:left="720" w:right="720"/>
      <w:jc w:val="both"/>
    </w:pPr>
    <w:rPr>
      <w:sz w:val="22"/>
    </w:rPr>
  </w:style>
  <w:style w:type="paragraph" w:styleId="Revision">
    <w:name w:val="Revision"/>
    <w:hidden/>
    <w:uiPriority w:val="99"/>
    <w:semiHidden/>
    <w:rPr>
      <w:rFonts w:ascii="Arial" w:hAnsi="Arial"/>
      <w:sz w:val="24"/>
      <w:szCs w:val="24"/>
    </w:rPr>
  </w:style>
  <w:style w:type="paragraph" w:customStyle="1" w:styleId="tabletxt">
    <w:name w:val="tabletxt"/>
    <w:basedOn w:val="Normal"/>
    <w:pPr>
      <w:widowControl w:val="0"/>
      <w:autoSpaceDE w:val="0"/>
      <w:autoSpaceDN w:val="0"/>
      <w:adjustRightInd w:val="0"/>
      <w:spacing w:before="60" w:after="60"/>
    </w:pPr>
    <w:rPr>
      <w:rFonts w:cs="Arial"/>
      <w:sz w:val="20"/>
      <w:szCs w:val="20"/>
    </w:rPr>
  </w:style>
  <w:style w:type="character" w:styleId="UnresolvedMention">
    <w:name w:val="Unresolved Mention"/>
    <w:uiPriority w:val="99"/>
    <w:semiHidden/>
    <w:unhideWhenUsed/>
    <w:rPr>
      <w:color w:val="605E5C"/>
      <w:shd w:val="clear" w:color="auto" w:fill="E1DFDD"/>
    </w:rPr>
  </w:style>
  <w:style w:type="paragraph" w:customStyle="1" w:styleId="Default">
    <w:name w:val="Default"/>
    <w:pPr>
      <w:autoSpaceDE w:val="0"/>
      <w:autoSpaceDN w:val="0"/>
      <w:adjustRightInd w:val="0"/>
    </w:pPr>
    <w:rPr>
      <w:rFonts w:ascii="Arial" w:eastAsia="Calibri" w:hAnsi="Arial" w:cs="Arial"/>
      <w:color w:val="000000"/>
      <w:sz w:val="24"/>
      <w:szCs w:val="24"/>
    </w:rPr>
  </w:style>
  <w:style w:type="paragraph" w:customStyle="1" w:styleId="ArticleL31">
    <w:name w:val="ArticleL3_1"/>
    <w:pPr>
      <w:keepNext/>
      <w:tabs>
        <w:tab w:val="num" w:pos="1440"/>
        <w:tab w:val="num" w:pos="2020"/>
      </w:tabs>
      <w:spacing w:after="240"/>
      <w:ind w:firstLine="1440"/>
      <w:jc w:val="both"/>
      <w:outlineLvl w:val="2"/>
    </w:pPr>
    <w:rPr>
      <w:rFonts w:ascii="Arial" w:hAnsi="Arial" w:cs="Arial"/>
      <w:sz w:val="24"/>
    </w:rPr>
  </w:style>
  <w:style w:type="paragraph" w:customStyle="1" w:styleId="BodyTextFirstIndent1">
    <w:name w:val="BodyTextFirstIndent_1"/>
    <w:pPr>
      <w:spacing w:after="240"/>
      <w:ind w:right="-720" w:firstLine="720"/>
      <w:jc w:val="both"/>
    </w:pPr>
    <w:rPr>
      <w:rFonts w:ascii="Arial" w:hAnsi="Arial"/>
      <w:sz w:val="24"/>
      <w:szCs w:val="24"/>
      <w:lang w:val="x-none" w:eastAsia="x-none"/>
    </w:rPr>
  </w:style>
  <w:style w:type="paragraph" w:customStyle="1" w:styleId="ExhibitTitle">
    <w:name w:val="Exhibit Title"/>
    <w:basedOn w:val="Normal"/>
    <w:next w:val="Normal"/>
    <w:qFormat/>
    <w:rsid w:val="004666F5"/>
    <w:pPr>
      <w:jc w:val="center"/>
    </w:pPr>
    <w:rPr>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02066">
      <w:bodyDiv w:val="1"/>
      <w:marLeft w:val="0"/>
      <w:marRight w:val="0"/>
      <w:marTop w:val="0"/>
      <w:marBottom w:val="0"/>
      <w:divBdr>
        <w:top w:val="none" w:sz="0" w:space="0" w:color="auto"/>
        <w:left w:val="none" w:sz="0" w:space="0" w:color="auto"/>
        <w:bottom w:val="none" w:sz="0" w:space="0" w:color="auto"/>
        <w:right w:val="none" w:sz="0" w:space="0" w:color="auto"/>
      </w:divBdr>
    </w:div>
    <w:div w:id="736781611">
      <w:bodyDiv w:val="1"/>
      <w:marLeft w:val="0"/>
      <w:marRight w:val="0"/>
      <w:marTop w:val="0"/>
      <w:marBottom w:val="0"/>
      <w:divBdr>
        <w:top w:val="none" w:sz="0" w:space="0" w:color="auto"/>
        <w:left w:val="none" w:sz="0" w:space="0" w:color="auto"/>
        <w:bottom w:val="none" w:sz="0" w:space="0" w:color="auto"/>
        <w:right w:val="none" w:sz="0" w:space="0" w:color="auto"/>
      </w:divBdr>
    </w:div>
    <w:div w:id="990645069">
      <w:bodyDiv w:val="1"/>
      <w:marLeft w:val="0"/>
      <w:marRight w:val="0"/>
      <w:marTop w:val="0"/>
      <w:marBottom w:val="0"/>
      <w:divBdr>
        <w:top w:val="none" w:sz="0" w:space="0" w:color="auto"/>
        <w:left w:val="none" w:sz="0" w:space="0" w:color="auto"/>
        <w:bottom w:val="none" w:sz="0" w:space="0" w:color="auto"/>
        <w:right w:val="none" w:sz="0" w:space="0" w:color="auto"/>
      </w:divBdr>
    </w:div>
    <w:div w:id="1604533791">
      <w:bodyDiv w:val="1"/>
      <w:marLeft w:val="0"/>
      <w:marRight w:val="0"/>
      <w:marTop w:val="0"/>
      <w:marBottom w:val="0"/>
      <w:divBdr>
        <w:top w:val="none" w:sz="0" w:space="0" w:color="auto"/>
        <w:left w:val="none" w:sz="0" w:space="0" w:color="auto"/>
        <w:bottom w:val="none" w:sz="0" w:space="0" w:color="auto"/>
        <w:right w:val="none" w:sz="0" w:space="0" w:color="auto"/>
      </w:divBdr>
    </w:div>
    <w:div w:id="1757630057">
      <w:bodyDiv w:val="1"/>
      <w:marLeft w:val="0"/>
      <w:marRight w:val="0"/>
      <w:marTop w:val="0"/>
      <w:marBottom w:val="0"/>
      <w:divBdr>
        <w:top w:val="none" w:sz="0" w:space="0" w:color="auto"/>
        <w:left w:val="none" w:sz="0" w:space="0" w:color="auto"/>
        <w:bottom w:val="none" w:sz="0" w:space="0" w:color="auto"/>
        <w:right w:val="none" w:sz="0" w:space="0" w:color="auto"/>
      </w:divBdr>
    </w:div>
    <w:div w:id="1794789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eader" Target="header50.xml"/><Relationship Id="rId21" Type="http://schemas.openxmlformats.org/officeDocument/2006/relationships/footer" Target="footer4.xml"/><Relationship Id="rId42" Type="http://schemas.openxmlformats.org/officeDocument/2006/relationships/footer" Target="footer15.xml"/><Relationship Id="rId63" Type="http://schemas.openxmlformats.org/officeDocument/2006/relationships/header" Target="header24.xml"/><Relationship Id="rId84" Type="http://schemas.openxmlformats.org/officeDocument/2006/relationships/header" Target="header35.xml"/><Relationship Id="rId16" Type="http://schemas.openxmlformats.org/officeDocument/2006/relationships/footer" Target="footer2.xml"/><Relationship Id="rId107" Type="http://schemas.openxmlformats.org/officeDocument/2006/relationships/header" Target="header46.xml"/><Relationship Id="rId11" Type="http://schemas.openxmlformats.org/officeDocument/2006/relationships/endnotes" Target="endnotes.xml"/><Relationship Id="rId32" Type="http://schemas.openxmlformats.org/officeDocument/2006/relationships/header" Target="header11.xml"/><Relationship Id="rId37" Type="http://schemas.openxmlformats.org/officeDocument/2006/relationships/header" Target="header13.xml"/><Relationship Id="rId53" Type="http://schemas.openxmlformats.org/officeDocument/2006/relationships/header" Target="header19.xml"/><Relationship Id="rId58" Type="http://schemas.openxmlformats.org/officeDocument/2006/relationships/footer" Target="footer23.xml"/><Relationship Id="rId74" Type="http://schemas.openxmlformats.org/officeDocument/2006/relationships/footer" Target="footer31.xml"/><Relationship Id="rId79" Type="http://schemas.openxmlformats.org/officeDocument/2006/relationships/footer" Target="footer33.xml"/><Relationship Id="rId102" Type="http://schemas.openxmlformats.org/officeDocument/2006/relationships/header" Target="header44.xml"/><Relationship Id="rId123" Type="http://schemas.openxmlformats.org/officeDocument/2006/relationships/header" Target="header53.xml"/><Relationship Id="rId128" Type="http://schemas.openxmlformats.org/officeDocument/2006/relationships/footer" Target="footer59.xml"/><Relationship Id="rId5" Type="http://schemas.openxmlformats.org/officeDocument/2006/relationships/customXml" Target="../customXml/item5.xml"/><Relationship Id="rId90" Type="http://schemas.openxmlformats.org/officeDocument/2006/relationships/header" Target="header38.xml"/><Relationship Id="rId95" Type="http://schemas.openxmlformats.org/officeDocument/2006/relationships/header" Target="header40.xml"/><Relationship Id="rId22" Type="http://schemas.openxmlformats.org/officeDocument/2006/relationships/footer" Target="footer5.xml"/><Relationship Id="rId27" Type="http://schemas.openxmlformats.org/officeDocument/2006/relationships/footer" Target="footer7.xml"/><Relationship Id="rId43" Type="http://schemas.openxmlformats.org/officeDocument/2006/relationships/footer" Target="footer16.xml"/><Relationship Id="rId48" Type="http://schemas.openxmlformats.org/officeDocument/2006/relationships/header" Target="header17.xml"/><Relationship Id="rId64" Type="http://schemas.openxmlformats.org/officeDocument/2006/relationships/footer" Target="footer26.xml"/><Relationship Id="rId69" Type="http://schemas.openxmlformats.org/officeDocument/2006/relationships/header" Target="header27.xml"/><Relationship Id="rId113" Type="http://schemas.openxmlformats.org/officeDocument/2006/relationships/header" Target="header48.xml"/><Relationship Id="rId118" Type="http://schemas.openxmlformats.org/officeDocument/2006/relationships/footer" Target="footer54.xml"/><Relationship Id="rId134" Type="http://schemas.openxmlformats.org/officeDocument/2006/relationships/theme" Target="theme/theme1.xml"/><Relationship Id="rId80" Type="http://schemas.openxmlformats.org/officeDocument/2006/relationships/footer" Target="footer34.xml"/><Relationship Id="rId85" Type="http://schemas.openxmlformats.org/officeDocument/2006/relationships/footer" Target="footer36.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10.xml"/><Relationship Id="rId38" Type="http://schemas.openxmlformats.org/officeDocument/2006/relationships/header" Target="header14.xml"/><Relationship Id="rId59" Type="http://schemas.openxmlformats.org/officeDocument/2006/relationships/header" Target="header22.xml"/><Relationship Id="rId103" Type="http://schemas.openxmlformats.org/officeDocument/2006/relationships/footer" Target="footer45.xml"/><Relationship Id="rId108" Type="http://schemas.openxmlformats.org/officeDocument/2006/relationships/footer" Target="footer48.xml"/><Relationship Id="rId124" Type="http://schemas.openxmlformats.org/officeDocument/2006/relationships/footer" Target="footer57.xml"/><Relationship Id="rId129" Type="http://schemas.openxmlformats.org/officeDocument/2006/relationships/header" Target="header56.xml"/><Relationship Id="rId54" Type="http://schemas.openxmlformats.org/officeDocument/2006/relationships/header" Target="header20.xml"/><Relationship Id="rId70" Type="http://schemas.openxmlformats.org/officeDocument/2006/relationships/footer" Target="footer29.xml"/><Relationship Id="rId75" Type="http://schemas.openxmlformats.org/officeDocument/2006/relationships/header" Target="header30.xml"/><Relationship Id="rId91" Type="http://schemas.openxmlformats.org/officeDocument/2006/relationships/footer" Target="footer39.xml"/><Relationship Id="rId96" Type="http://schemas.openxmlformats.org/officeDocument/2006/relationships/header" Target="header41.xm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eader" Target="header6.xml"/><Relationship Id="rId28" Type="http://schemas.openxmlformats.org/officeDocument/2006/relationships/footer" Target="footer8.xml"/><Relationship Id="rId49" Type="http://schemas.openxmlformats.org/officeDocument/2006/relationships/footer" Target="footer18.xml"/><Relationship Id="rId114" Type="http://schemas.openxmlformats.org/officeDocument/2006/relationships/header" Target="header49.xml"/><Relationship Id="rId119" Type="http://schemas.openxmlformats.org/officeDocument/2006/relationships/header" Target="header51.xml"/><Relationship Id="rId44" Type="http://schemas.openxmlformats.org/officeDocument/2006/relationships/footer" Target="footer17.xml"/><Relationship Id="rId60" Type="http://schemas.openxmlformats.org/officeDocument/2006/relationships/header" Target="header23.xml"/><Relationship Id="rId65" Type="http://schemas.openxmlformats.org/officeDocument/2006/relationships/header" Target="header25.xml"/><Relationship Id="rId81" Type="http://schemas.openxmlformats.org/officeDocument/2006/relationships/header" Target="header33.xml"/><Relationship Id="rId86" Type="http://schemas.openxmlformats.org/officeDocument/2006/relationships/footer" Target="footer37.xml"/><Relationship Id="rId130" Type="http://schemas.openxmlformats.org/officeDocument/2006/relationships/footer" Target="footer60.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13.xml"/><Relationship Id="rId109" Type="http://schemas.openxmlformats.org/officeDocument/2006/relationships/footer" Target="footer49.xml"/><Relationship Id="rId34" Type="http://schemas.openxmlformats.org/officeDocument/2006/relationships/footer" Target="footer11.xml"/><Relationship Id="rId50" Type="http://schemas.openxmlformats.org/officeDocument/2006/relationships/footer" Target="footer19.xml"/><Relationship Id="rId55" Type="http://schemas.openxmlformats.org/officeDocument/2006/relationships/footer" Target="footer21.xml"/><Relationship Id="rId76" Type="http://schemas.openxmlformats.org/officeDocument/2006/relationships/footer" Target="footer32.xml"/><Relationship Id="rId97" Type="http://schemas.openxmlformats.org/officeDocument/2006/relationships/footer" Target="footer42.xml"/><Relationship Id="rId104" Type="http://schemas.openxmlformats.org/officeDocument/2006/relationships/footer" Target="footer46.xml"/><Relationship Id="rId120" Type="http://schemas.openxmlformats.org/officeDocument/2006/relationships/header" Target="header52.xml"/><Relationship Id="rId125" Type="http://schemas.openxmlformats.org/officeDocument/2006/relationships/header" Target="header54.xml"/><Relationship Id="rId7" Type="http://schemas.openxmlformats.org/officeDocument/2006/relationships/styles" Target="styles.xml"/><Relationship Id="rId71" Type="http://schemas.openxmlformats.org/officeDocument/2006/relationships/header" Target="header28.xml"/><Relationship Id="rId92" Type="http://schemas.openxmlformats.org/officeDocument/2006/relationships/footer" Target="footer40.xml"/><Relationship Id="rId2" Type="http://schemas.openxmlformats.org/officeDocument/2006/relationships/customXml" Target="../customXml/item2.xml"/><Relationship Id="rId29" Type="http://schemas.openxmlformats.org/officeDocument/2006/relationships/header" Target="header9.xml"/><Relationship Id="rId24" Type="http://schemas.openxmlformats.org/officeDocument/2006/relationships/footer" Target="footer6.xml"/><Relationship Id="rId40" Type="http://schemas.openxmlformats.org/officeDocument/2006/relationships/footer" Target="footer14.xml"/><Relationship Id="rId45" Type="http://schemas.openxmlformats.org/officeDocument/2006/relationships/hyperlink" Target="mailto:dlrtelectricmarketersnsp@xcelenergy.com" TargetMode="External"/><Relationship Id="rId66" Type="http://schemas.openxmlformats.org/officeDocument/2006/relationships/header" Target="header26.xml"/><Relationship Id="rId87" Type="http://schemas.openxmlformats.org/officeDocument/2006/relationships/header" Target="header36.xml"/><Relationship Id="rId110" Type="http://schemas.openxmlformats.org/officeDocument/2006/relationships/header" Target="header47.xml"/><Relationship Id="rId115" Type="http://schemas.openxmlformats.org/officeDocument/2006/relationships/footer" Target="footer52.xml"/><Relationship Id="rId131" Type="http://schemas.openxmlformats.org/officeDocument/2006/relationships/header" Target="header57.xml"/><Relationship Id="rId61" Type="http://schemas.openxmlformats.org/officeDocument/2006/relationships/footer" Target="footer24.xml"/><Relationship Id="rId82" Type="http://schemas.openxmlformats.org/officeDocument/2006/relationships/footer" Target="footer35.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footer" Target="footer9.xml"/><Relationship Id="rId35" Type="http://schemas.openxmlformats.org/officeDocument/2006/relationships/header" Target="header12.xml"/><Relationship Id="rId56" Type="http://schemas.openxmlformats.org/officeDocument/2006/relationships/footer" Target="footer22.xml"/><Relationship Id="rId77" Type="http://schemas.openxmlformats.org/officeDocument/2006/relationships/header" Target="header31.xml"/><Relationship Id="rId100" Type="http://schemas.openxmlformats.org/officeDocument/2006/relationships/footer" Target="footer44.xml"/><Relationship Id="rId105" Type="http://schemas.openxmlformats.org/officeDocument/2006/relationships/header" Target="header45.xml"/><Relationship Id="rId126" Type="http://schemas.openxmlformats.org/officeDocument/2006/relationships/header" Target="header55.xml"/><Relationship Id="rId8" Type="http://schemas.openxmlformats.org/officeDocument/2006/relationships/settings" Target="settings.xml"/><Relationship Id="rId51" Type="http://schemas.openxmlformats.org/officeDocument/2006/relationships/header" Target="header18.xml"/><Relationship Id="rId72" Type="http://schemas.openxmlformats.org/officeDocument/2006/relationships/header" Target="header29.xml"/><Relationship Id="rId93" Type="http://schemas.openxmlformats.org/officeDocument/2006/relationships/header" Target="header39.xml"/><Relationship Id="rId98" Type="http://schemas.openxmlformats.org/officeDocument/2006/relationships/footer" Target="footer43.xml"/><Relationship Id="rId121" Type="http://schemas.openxmlformats.org/officeDocument/2006/relationships/footer" Target="footer55.xml"/><Relationship Id="rId3" Type="http://schemas.openxmlformats.org/officeDocument/2006/relationships/customXml" Target="../customXml/item3.xml"/><Relationship Id="rId25" Type="http://schemas.openxmlformats.org/officeDocument/2006/relationships/header" Target="header7.xml"/><Relationship Id="rId46" Type="http://schemas.openxmlformats.org/officeDocument/2006/relationships/hyperlink" Target="mailto:AGCOpr@xcelenergy.com" TargetMode="External"/><Relationship Id="rId67" Type="http://schemas.openxmlformats.org/officeDocument/2006/relationships/footer" Target="footer27.xml"/><Relationship Id="rId116" Type="http://schemas.openxmlformats.org/officeDocument/2006/relationships/footer" Target="footer53.xml"/><Relationship Id="rId20" Type="http://schemas.openxmlformats.org/officeDocument/2006/relationships/header" Target="header5.xml"/><Relationship Id="rId41" Type="http://schemas.openxmlformats.org/officeDocument/2006/relationships/header" Target="header15.xml"/><Relationship Id="rId62" Type="http://schemas.openxmlformats.org/officeDocument/2006/relationships/footer" Target="footer25.xml"/><Relationship Id="rId83" Type="http://schemas.openxmlformats.org/officeDocument/2006/relationships/header" Target="header34.xml"/><Relationship Id="rId88" Type="http://schemas.openxmlformats.org/officeDocument/2006/relationships/footer" Target="footer38.xml"/><Relationship Id="rId111" Type="http://schemas.openxmlformats.org/officeDocument/2006/relationships/footer" Target="footer50.xml"/><Relationship Id="rId132" Type="http://schemas.openxmlformats.org/officeDocument/2006/relationships/footer" Target="footer61.xml"/><Relationship Id="rId15" Type="http://schemas.openxmlformats.org/officeDocument/2006/relationships/footer" Target="footer1.xml"/><Relationship Id="rId36" Type="http://schemas.openxmlformats.org/officeDocument/2006/relationships/footer" Target="footer12.xml"/><Relationship Id="rId57" Type="http://schemas.openxmlformats.org/officeDocument/2006/relationships/header" Target="header21.xml"/><Relationship Id="rId106" Type="http://schemas.openxmlformats.org/officeDocument/2006/relationships/footer" Target="footer47.xml"/><Relationship Id="rId127" Type="http://schemas.openxmlformats.org/officeDocument/2006/relationships/footer" Target="footer58.xml"/><Relationship Id="rId10" Type="http://schemas.openxmlformats.org/officeDocument/2006/relationships/footnotes" Target="footnotes.xml"/><Relationship Id="rId31" Type="http://schemas.openxmlformats.org/officeDocument/2006/relationships/header" Target="header10.xml"/><Relationship Id="rId52" Type="http://schemas.openxmlformats.org/officeDocument/2006/relationships/footer" Target="footer20.xml"/><Relationship Id="rId73" Type="http://schemas.openxmlformats.org/officeDocument/2006/relationships/footer" Target="footer30.xml"/><Relationship Id="rId78" Type="http://schemas.openxmlformats.org/officeDocument/2006/relationships/header" Target="header32.xml"/><Relationship Id="rId94" Type="http://schemas.openxmlformats.org/officeDocument/2006/relationships/footer" Target="footer41.xml"/><Relationship Id="rId99" Type="http://schemas.openxmlformats.org/officeDocument/2006/relationships/header" Target="header42.xml"/><Relationship Id="rId101" Type="http://schemas.openxmlformats.org/officeDocument/2006/relationships/header" Target="header43.xml"/><Relationship Id="rId122" Type="http://schemas.openxmlformats.org/officeDocument/2006/relationships/footer" Target="footer56.xml"/><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header" Target="header8.xml"/><Relationship Id="rId47" Type="http://schemas.openxmlformats.org/officeDocument/2006/relationships/header" Target="header16.xml"/><Relationship Id="rId68" Type="http://schemas.openxmlformats.org/officeDocument/2006/relationships/footer" Target="footer28.xml"/><Relationship Id="rId89" Type="http://schemas.openxmlformats.org/officeDocument/2006/relationships/header" Target="header37.xml"/><Relationship Id="rId112" Type="http://schemas.openxmlformats.org/officeDocument/2006/relationships/footer" Target="footer51.xml"/><Relationship Id="rId13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
</file>

<file path=customXml/item2.xml><?xml version="1.0" encoding="utf-8"?>
<ct:contentTypeSchema xmlns:ct="http://schemas.microsoft.com/office/2006/metadata/contentType" xmlns:ma="http://schemas.microsoft.com/office/2006/metadata/properties/metaAttributes" ct:_="" ma:_="" ma:contentTypeName="Document" ma:contentTypeID="0x010100606D5857F31642408D69289EFE38AA54" ma:contentTypeVersion="23" ma:contentTypeDescription="Create a new document." ma:contentTypeScope="" ma:versionID="80aeb80044f0769b137782034301f573">
  <xsd:schema xmlns:xsd="http://www.w3.org/2001/XMLSchema" xmlns:xs="http://www.w3.org/2001/XMLSchema" xmlns:p="http://schemas.microsoft.com/office/2006/metadata/properties" xmlns:ns1="http://schemas.microsoft.com/sharepoint/v3" xmlns:ns2="1b51cac9-4e8e-4d9e-bd5d-5e3cd1f13c5c" xmlns:ns3="e13444af-7d20-44ec-89c3-a57062f314f0" targetNamespace="http://schemas.microsoft.com/office/2006/metadata/properties" ma:root="true" ma:fieldsID="cc95d34b5750cdd8312aee337b7e92be" ns1:_="" ns2:_="" ns3:_="">
    <xsd:import namespace="http://schemas.microsoft.com/sharepoint/v3"/>
    <xsd:import namespace="1b51cac9-4e8e-4d9e-bd5d-5e3cd1f13c5c"/>
    <xsd:import namespace="e13444af-7d20-44ec-89c3-a57062f314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DateTaken" minOccurs="0"/>
                <xsd:element ref="ns2:MediaServiceLocation" minOccurs="0"/>
                <xsd:element ref="ns2:Notes" minOccurs="0"/>
                <xsd:element ref="ns2:MediaLengthInSeconds" minOccurs="0"/>
                <xsd:element ref="ns2:Channel" minOccurs="0"/>
                <xsd:element ref="ns2:BusinessArea" minOccurs="0"/>
                <xsd:element ref="ns2:lcf76f155ced4ddcb4097134ff3c332f" minOccurs="0"/>
                <xsd:element ref="ns3:TaxCatchAll" minOccurs="0"/>
                <xsd:element ref="ns1:_ip_UnifiedCompliancePolicyProperties" minOccurs="0"/>
                <xsd:element ref="ns1:_ip_UnifiedCompliancePolicyUIAc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51cac9-4e8e-4d9e-bd5d-5e3cd1f13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Notes" ma:index="20" nillable="true" ma:displayName="Notes" ma:format="Dropdown" ma:internalName="Notes">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Channel" ma:index="22" nillable="true" ma:displayName="Channel" ma:format="Dropdown" ma:internalName="Channel">
      <xsd:simpleType>
        <xsd:union memberTypes="dms:Text">
          <xsd:simpleType>
            <xsd:restriction base="dms:Choice">
              <xsd:enumeration value="Bird Cam"/>
              <xsd:enumeration value="Blog"/>
              <xsd:enumeration value="SharePoint"/>
              <xsd:enumeration value="Town Halls"/>
              <xsd:enumeration value="XETV"/>
              <xsd:enumeration value="XpressNET"/>
              <xsd:enumeration value="Email"/>
              <xsd:enumeration value="Bob Frenzel"/>
            </xsd:restriction>
          </xsd:simpleType>
        </xsd:union>
      </xsd:simpleType>
    </xsd:element>
    <xsd:element name="BusinessArea" ma:index="23" nillable="true" ma:displayName="BusinessArea" ma:description="Where relevant, add business area or department applicable for this file" ma:format="Dropdown" ma:internalName="BusinessArea">
      <xsd:simpleType>
        <xsd:restriction base="dms:Text">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479e3fc3-975b-426c-9e08-d2a3e1f4e75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3444af-7d20-44ec-89c3-a57062f314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a0e1d60d-2bf0-499d-8abc-46b179c5da01}" ma:internalName="TaxCatchAll" ma:showField="CatchAllData" ma:web="e13444af-7d20-44ec-89c3-a57062f314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p:properties xmlns:p="http://schemas.microsoft.com/office/2006/metadata/properties" xmlns:xsi="http://www.w3.org/2001/XMLSchema-instance" xmlns:pc="http://schemas.microsoft.com/office/infopath/2007/PartnerControls">
  <documentManagement>
    <TaxCatchAll xmlns="e13444af-7d20-44ec-89c3-a57062f314f0" xsi:nil="true"/>
    <_ip_UnifiedCompliancePolicyUIAction xmlns="http://schemas.microsoft.com/sharepoint/v3" xsi:nil="true"/>
    <lcf76f155ced4ddcb4097134ff3c332f xmlns="1b51cac9-4e8e-4d9e-bd5d-5e3cd1f13c5c">
      <Terms xmlns="http://schemas.microsoft.com/office/infopath/2007/PartnerControls"/>
    </lcf76f155ced4ddcb4097134ff3c332f>
    <_ip_UnifiedCompliancePolicyProperties xmlns="http://schemas.microsoft.com/sharepoint/v3" xsi:nil="true"/>
    <Channel xmlns="1b51cac9-4e8e-4d9e-bd5d-5e3cd1f13c5c" xsi:nil="true"/>
    <Notes xmlns="1b51cac9-4e8e-4d9e-bd5d-5e3cd1f13c5c" xsi:nil="true"/>
    <BusinessArea xmlns="1b51cac9-4e8e-4d9e-bd5d-5e3cd1f13c5c" xsi:nil="true"/>
  </documentManagement>
</p:properties>
</file>

<file path=customXml/itemProps1.xml><?xml version="1.0" encoding="utf-8"?>
<ds:datastoreItem xmlns:ds="http://schemas.openxmlformats.org/officeDocument/2006/customXml" ds:itemID="{EEB1D805-1A02-4CCC-A52D-23F491122397}">
  <ds:schemaRefs>
    <ds:schemaRef ds:uri="http://www.imanage.com/work/xmlschema"/>
  </ds:schemaRefs>
</ds:datastoreItem>
</file>

<file path=customXml/itemProps2.xml><?xml version="1.0" encoding="utf-8"?>
<ds:datastoreItem xmlns:ds="http://schemas.openxmlformats.org/officeDocument/2006/customXml" ds:itemID="{D3CD0C04-C3E1-445E-BC0C-FD6E2900CC53}"/>
</file>

<file path=customXml/itemProps3.xml><?xml version="1.0" encoding="utf-8"?>
<ds:datastoreItem xmlns:ds="http://schemas.openxmlformats.org/officeDocument/2006/customXml" ds:itemID="{72217DC2-D215-4475-9E79-1A5D2BF65D1D}">
  <ds:schemaRefs>
    <ds:schemaRef ds:uri="http://schemas.microsoft.com/sharepoint/v3/contenttype/forms"/>
  </ds:schemaRefs>
</ds:datastoreItem>
</file>

<file path=customXml/itemProps4.xml><?xml version="1.0" encoding="utf-8"?>
<ds:datastoreItem xmlns:ds="http://schemas.openxmlformats.org/officeDocument/2006/customXml" ds:itemID="{C60A3B7C-536D-4372-BA70-530417D3F47B}">
  <ds:schemaRefs>
    <ds:schemaRef ds:uri="http://schemas.openxmlformats.org/officeDocument/2006/bibliography"/>
  </ds:schemaRefs>
</ds:datastoreItem>
</file>

<file path=customXml/itemProps5.xml><?xml version="1.0" encoding="utf-8"?>
<ds:datastoreItem xmlns:ds="http://schemas.openxmlformats.org/officeDocument/2006/customXml" ds:itemID="{412751D3-F177-48A0-9E4C-0C53458305D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41876</Words>
  <Characters>238699</Characters>
  <Application>Microsoft Office Word</Application>
  <DocSecurity>0</DocSecurity>
  <Lines>1989</Lines>
  <Paragraphs>560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2023-11-16T18:06:00Z</dcterms:created>
  <dcterms:modified xsi:type="dcterms:W3CDTF">2023-11-21T16:32:00Z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2023-10-12T14:56:11Z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4501eeaa-52f1-4aef-a7aa-88cfa4fb3c8a</vt:lpwstr>
  </property>
  <property fmtid="{D5CDD505-2E9C-101B-9397-08002B2CF9AE}" pid="8" name="MSIP_Label_611ac0a8-6b99-444d-a60f-7336bfe397d8_ContentBits">
    <vt:lpwstr>0</vt:lpwstr>
  </property>
  <property fmtid="{D5CDD505-2E9C-101B-9397-08002B2CF9AE}" pid="9" name="ContentTypeId">
    <vt:lpwstr>0x010100CCDF645B46F8794E99C45FE0420B45ED</vt:lpwstr>
  </property>
  <property fmtid="{D5CDD505-2E9C-101B-9397-08002B2CF9AE}" pid="10" name="MediaServiceImageTags">
    <vt:lpwstr/>
  </property>
</Properties>
</file>